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BBB8C">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szCs w:val="21"/>
        </w:rPr>
        <w:t>2027年全院核心设备（过保）维保服务推介会要求</w:t>
      </w:r>
    </w:p>
    <w:p w14:paraId="64A670E8">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一、基本情况</w:t>
      </w:r>
    </w:p>
    <w:p w14:paraId="2A8BB54B">
      <w:pPr>
        <w:widowControl/>
        <w:numPr>
          <w:ilvl w:val="0"/>
          <w:numId w:val="1"/>
        </w:numPr>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项目名称</w:t>
      </w:r>
    </w:p>
    <w:p w14:paraId="588C5F22">
      <w:pPr>
        <w:widowControl/>
        <w:spacing w:line="360" w:lineRule="auto"/>
        <w:ind w:firstLine="422" w:firstLineChars="200"/>
        <w:jc w:val="left"/>
        <w:outlineLvl w:val="1"/>
        <w:rPr>
          <w:rFonts w:hint="eastAsia" w:ascii="宋体" w:hAnsi="宋体" w:eastAsia="宋体" w:cs="宋体"/>
          <w:b/>
          <w:bCs/>
          <w:color w:val="000000"/>
          <w:szCs w:val="21"/>
        </w:rPr>
      </w:pPr>
      <w:r>
        <w:rPr>
          <w:rFonts w:hint="eastAsia" w:ascii="宋体" w:hAnsi="宋体" w:eastAsia="宋体" w:cs="宋体"/>
          <w:b/>
          <w:bCs/>
          <w:szCs w:val="21"/>
        </w:rPr>
        <w:t>2027年全院核心设备（过保）维保服务</w:t>
      </w:r>
    </w:p>
    <w:p w14:paraId="67A46744">
      <w:pPr>
        <w:widowControl/>
        <w:numPr>
          <w:ilvl w:val="0"/>
          <w:numId w:val="1"/>
        </w:numPr>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szCs w:val="21"/>
          <w:lang w:eastAsia="zh-CN"/>
        </w:rPr>
        <w:t>项目需求</w:t>
      </w:r>
    </w:p>
    <w:p w14:paraId="568B7B02">
      <w:pPr>
        <w:numPr>
          <w:ilvl w:val="0"/>
          <w:numId w:val="2"/>
        </w:numPr>
        <w:tabs>
          <w:tab w:val="left" w:pos="-420"/>
          <w:tab w:val="clear" w:pos="312"/>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lang w:eastAsia="zh-CN"/>
        </w:rPr>
        <w:t>采购两院区（渝中院区、江南院区）机房内质保过期的</w:t>
      </w:r>
      <w:r>
        <w:rPr>
          <w:rFonts w:hint="eastAsia" w:ascii="宋体" w:hAnsi="宋体" w:eastAsia="宋体" w:cs="宋体"/>
          <w:szCs w:val="21"/>
        </w:rPr>
        <w:t>核心设备</w:t>
      </w:r>
      <w:r>
        <w:rPr>
          <w:rFonts w:hint="eastAsia" w:ascii="宋体" w:hAnsi="宋体" w:eastAsia="宋体" w:cs="宋体"/>
          <w:szCs w:val="21"/>
          <w:lang w:eastAsia="zh-CN"/>
        </w:rPr>
        <w:t>维保服务</w:t>
      </w:r>
      <w:r>
        <w:rPr>
          <w:rFonts w:hint="eastAsia" w:ascii="宋体" w:hAnsi="宋体" w:eastAsia="宋体" w:cs="宋体"/>
          <w:szCs w:val="21"/>
        </w:rPr>
        <w:t>；</w:t>
      </w:r>
    </w:p>
    <w:p w14:paraId="42E16611">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二、资格要求</w:t>
      </w:r>
    </w:p>
    <w:p w14:paraId="7A06A5D6">
      <w:pPr>
        <w:widowControl/>
        <w:numPr>
          <w:ilvl w:val="0"/>
          <w:numId w:val="3"/>
        </w:numPr>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基本资格条件</w:t>
      </w:r>
    </w:p>
    <w:p w14:paraId="1AE21442">
      <w:pPr>
        <w:tabs>
          <w:tab w:val="left" w:pos="-420"/>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1.具有独立承担民事责任的能力；</w:t>
      </w:r>
    </w:p>
    <w:p w14:paraId="6D04E9E8">
      <w:pPr>
        <w:tabs>
          <w:tab w:val="left" w:pos="-420"/>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2.具有良好的商业信誉和健全的财务会计制度；</w:t>
      </w:r>
    </w:p>
    <w:p w14:paraId="7D577B7F">
      <w:pPr>
        <w:tabs>
          <w:tab w:val="left" w:pos="-420"/>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3.具有履行合同所必需的设备和专业技术能力；</w:t>
      </w:r>
    </w:p>
    <w:p w14:paraId="7915431D">
      <w:pPr>
        <w:tabs>
          <w:tab w:val="left" w:pos="-420"/>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4.有依法缴纳税收和社会保障资金的良好记录；</w:t>
      </w:r>
    </w:p>
    <w:p w14:paraId="5A234B97">
      <w:pPr>
        <w:tabs>
          <w:tab w:val="left" w:pos="-420"/>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5.参加政府采购活动前三年内，在经营活动中没有重大违法记录；</w:t>
      </w:r>
    </w:p>
    <w:p w14:paraId="50D451C6">
      <w:pPr>
        <w:tabs>
          <w:tab w:val="left" w:pos="-420"/>
        </w:tabs>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6.法律、行政法规规定的其他条件。</w:t>
      </w:r>
    </w:p>
    <w:p w14:paraId="03935228">
      <w:pPr>
        <w:widowControl/>
        <w:numPr>
          <w:ilvl w:val="0"/>
          <w:numId w:val="3"/>
        </w:numPr>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特定资格条件</w:t>
      </w:r>
    </w:p>
    <w:p w14:paraId="7FB7736E">
      <w:pPr>
        <w:pStyle w:val="2"/>
        <w:ind w:firstLine="420" w:firstLineChars="200"/>
        <w:rPr>
          <w:rFonts w:hint="eastAsia" w:ascii="宋体" w:hAnsi="宋体" w:eastAsia="宋体" w:cs="宋体"/>
          <w:lang w:val="en-US" w:eastAsia="zh-CN"/>
        </w:rPr>
      </w:pPr>
      <w:r>
        <w:rPr>
          <w:rFonts w:hint="eastAsia" w:ascii="宋体" w:hAnsi="宋体" w:eastAsia="宋体" w:cs="宋体"/>
          <w:b w:val="0"/>
          <w:bCs w:val="0"/>
          <w:kern w:val="2"/>
          <w:sz w:val="21"/>
          <w:szCs w:val="21"/>
          <w:lang w:val="en-US" w:eastAsia="zh-CN" w:bidi="ar-SA"/>
        </w:rPr>
        <w:t>待定。</w:t>
      </w:r>
    </w:p>
    <w:p w14:paraId="3216389C">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三、现场勘查</w:t>
      </w:r>
    </w:p>
    <w:p w14:paraId="57E8288B">
      <w:pPr>
        <w:pStyle w:val="5"/>
        <w:spacing w:beforeAutospacing="0" w:afterAutospacing="0"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勘查时间：</w:t>
      </w:r>
      <w:r>
        <w:rPr>
          <w:rFonts w:hint="eastAsia" w:ascii="宋体" w:hAnsi="宋体" w:eastAsia="宋体" w:cs="宋体"/>
          <w:sz w:val="21"/>
          <w:szCs w:val="21"/>
          <w:lang w:val="en-US" w:eastAsia="zh-CN"/>
        </w:rPr>
        <w:t>推介</w:t>
      </w:r>
      <w:r>
        <w:rPr>
          <w:rFonts w:hint="eastAsia" w:ascii="宋体" w:hAnsi="宋体" w:eastAsia="宋体" w:cs="宋体"/>
          <w:sz w:val="21"/>
          <w:szCs w:val="21"/>
        </w:rPr>
        <w:t>人应于报名截止之前进行现场勘查。</w:t>
      </w:r>
    </w:p>
    <w:p w14:paraId="56644475">
      <w:pPr>
        <w:pStyle w:val="5"/>
        <w:spacing w:beforeAutospacing="0" w:afterAutospacing="0" w:line="360" w:lineRule="auto"/>
        <w:ind w:firstLine="420" w:firstLineChars="200"/>
        <w:rPr>
          <w:rFonts w:hint="eastAsia" w:ascii="宋体" w:hAnsi="宋体" w:eastAsia="宋体" w:cs="宋体"/>
          <w:color w:val="FF0000"/>
          <w:sz w:val="21"/>
          <w:szCs w:val="21"/>
        </w:rPr>
      </w:pPr>
      <w:r>
        <w:rPr>
          <w:rFonts w:hint="eastAsia" w:ascii="宋体" w:hAnsi="宋体" w:eastAsia="宋体" w:cs="宋体"/>
          <w:sz w:val="21"/>
          <w:szCs w:val="21"/>
        </w:rPr>
        <w:t>联系人：  数智中心      骆欢     13452365463</w:t>
      </w:r>
    </w:p>
    <w:p w14:paraId="7C3800AB">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四、详细需求</w:t>
      </w:r>
    </w:p>
    <w:p w14:paraId="229A982A">
      <w:pPr>
        <w:widowControl/>
        <w:numPr>
          <w:ilvl w:val="0"/>
          <w:numId w:val="4"/>
        </w:numPr>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需要购买维保服务的设备：</w:t>
      </w:r>
    </w:p>
    <w:p w14:paraId="6CDBE9F3">
      <w:pPr>
        <w:widowControl/>
        <w:spacing w:line="360" w:lineRule="auto"/>
        <w:jc w:val="left"/>
        <w:outlineLvl w:val="1"/>
        <w:rPr>
          <w:rFonts w:hint="eastAsia" w:ascii="宋体" w:hAnsi="宋体" w:eastAsia="宋体" w:cs="宋体"/>
          <w:b/>
          <w:bCs/>
          <w:color w:val="000000"/>
          <w:szCs w:val="21"/>
          <w:highlight w:val="none"/>
          <w:lang w:val="en-US" w:eastAsia="zh-CN"/>
        </w:rPr>
      </w:pPr>
      <w:r>
        <w:rPr>
          <w:rFonts w:hint="eastAsia" w:ascii="宋体" w:hAnsi="宋体" w:eastAsia="宋体" w:cs="宋体"/>
          <w:b/>
          <w:bCs/>
          <w:color w:val="000000"/>
          <w:szCs w:val="21"/>
          <w:highlight w:val="none"/>
          <w:lang w:val="en-US" w:eastAsia="zh-CN"/>
        </w:rPr>
        <w:t xml:space="preserve">     </w:t>
      </w:r>
      <w:r>
        <w:rPr>
          <w:rFonts w:hint="eastAsia" w:ascii="宋体" w:hAnsi="宋体" w:eastAsia="宋体" w:cs="宋体"/>
          <w:b w:val="0"/>
          <w:bCs w:val="0"/>
          <w:color w:val="000000"/>
          <w:szCs w:val="21"/>
          <w:highlight w:val="none"/>
          <w:lang w:val="en-US" w:eastAsia="zh-CN"/>
        </w:rPr>
        <w:t>设备类型包含服务器，存储，交换机，具体数量和型号以现场勘查为准。</w:t>
      </w:r>
      <w:r>
        <w:rPr>
          <w:rFonts w:hint="eastAsia" w:ascii="宋体" w:hAnsi="宋体" w:eastAsia="宋体" w:cs="宋体"/>
          <w:b/>
          <w:bCs/>
          <w:color w:val="000000"/>
          <w:szCs w:val="21"/>
          <w:highlight w:val="none"/>
          <w:lang w:val="en-US" w:eastAsia="zh-CN"/>
        </w:rPr>
        <w:t xml:space="preserve"> </w:t>
      </w:r>
    </w:p>
    <w:p w14:paraId="205890C2">
      <w:pPr>
        <w:widowControl/>
        <w:numPr>
          <w:ilvl w:val="0"/>
          <w:numId w:val="4"/>
        </w:numPr>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维保期服务要求：</w:t>
      </w:r>
    </w:p>
    <w:p w14:paraId="5D7D11EB">
      <w:pPr>
        <w:widowControl/>
        <w:spacing w:line="360" w:lineRule="auto"/>
        <w:ind w:firstLine="420" w:firstLineChars="200"/>
        <w:rPr>
          <w:rFonts w:hint="eastAsia" w:ascii="宋体" w:hAnsi="宋体" w:eastAsia="宋体" w:cs="宋体"/>
        </w:rPr>
      </w:pPr>
      <w:r>
        <w:rPr>
          <w:rFonts w:hint="eastAsia" w:ascii="宋体" w:hAnsi="宋体" w:eastAsia="宋体" w:cs="宋体"/>
          <w:bCs/>
          <w:szCs w:val="21"/>
        </w:rPr>
        <w:t>1.</w:t>
      </w:r>
      <w:r>
        <w:rPr>
          <w:rFonts w:hint="eastAsia" w:ascii="宋体" w:hAnsi="宋体" w:eastAsia="宋体" w:cs="宋体"/>
          <w:bCs/>
          <w:szCs w:val="21"/>
          <w:lang w:val="en-US" w:eastAsia="zh-CN"/>
        </w:rPr>
        <w:t>推介</w:t>
      </w:r>
      <w:r>
        <w:rPr>
          <w:rFonts w:hint="eastAsia" w:ascii="宋体" w:hAnsi="宋体" w:eastAsia="宋体" w:cs="宋体"/>
          <w:bCs/>
          <w:szCs w:val="21"/>
        </w:rPr>
        <w:t>人需提供一名经验丰富的项目经理对维保服务项目进行统一管理。项目经理应具备在</w:t>
      </w:r>
      <w:r>
        <w:rPr>
          <w:rFonts w:hint="eastAsia" w:ascii="宋体" w:hAnsi="宋体" w:eastAsia="宋体" w:cs="宋体"/>
          <w:bCs/>
          <w:szCs w:val="21"/>
          <w:lang w:val="en-US" w:eastAsia="zh-CN"/>
        </w:rPr>
        <w:t>推介</w:t>
      </w:r>
      <w:r>
        <w:rPr>
          <w:rFonts w:hint="eastAsia" w:ascii="宋体" w:hAnsi="宋体" w:eastAsia="宋体" w:cs="宋体"/>
          <w:bCs/>
          <w:szCs w:val="21"/>
        </w:rPr>
        <w:t>人公司5年以上工作经验。该项目经理</w:t>
      </w:r>
      <w:r>
        <w:rPr>
          <w:rFonts w:hint="eastAsia" w:ascii="宋体" w:hAnsi="宋体" w:cs="宋体"/>
          <w:bCs/>
          <w:szCs w:val="21"/>
          <w:lang w:eastAsia="zh-CN"/>
        </w:rPr>
        <w:t>须</w:t>
      </w:r>
      <w:r>
        <w:rPr>
          <w:rFonts w:hint="eastAsia" w:ascii="宋体" w:hAnsi="宋体" w:eastAsia="宋体" w:cs="宋体"/>
          <w:bCs/>
          <w:szCs w:val="21"/>
        </w:rPr>
        <w:t>熟悉运维服务及项目管理，具备IT服务管理证书（ITIL4 Foundation）。</w:t>
      </w:r>
    </w:p>
    <w:p w14:paraId="447322BD">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2</w:t>
      </w:r>
      <w:r>
        <w:rPr>
          <w:rFonts w:hint="eastAsia" w:ascii="宋体" w:hAnsi="宋体" w:eastAsia="宋体" w:cs="宋体"/>
          <w:bCs/>
          <w:szCs w:val="21"/>
        </w:rPr>
        <w:t>.</w:t>
      </w:r>
      <w:r>
        <w:rPr>
          <w:rFonts w:hint="eastAsia" w:ascii="宋体" w:hAnsi="宋体" w:eastAsia="宋体" w:cs="宋体"/>
          <w:bCs/>
          <w:szCs w:val="21"/>
          <w:lang w:val="en-US" w:eastAsia="zh-CN"/>
        </w:rPr>
        <w:t>推介</w:t>
      </w:r>
      <w:r>
        <w:rPr>
          <w:rFonts w:hint="eastAsia" w:ascii="宋体" w:hAnsi="宋体" w:eastAsia="宋体" w:cs="宋体"/>
          <w:bCs/>
          <w:szCs w:val="21"/>
        </w:rPr>
        <w:t>人需在重庆市主城区设有常驻服务机构，且配备有维保项目所需并且设施条件完善的自有备机备件库，具备良好的实验及测试环境，</w:t>
      </w:r>
      <w:r>
        <w:rPr>
          <w:rFonts w:hint="eastAsia" w:ascii="宋体" w:hAnsi="宋体" w:cs="宋体"/>
          <w:bCs/>
          <w:szCs w:val="21"/>
          <w:lang w:eastAsia="zh-CN"/>
        </w:rPr>
        <w:t>至少有3名</w:t>
      </w:r>
      <w:r>
        <w:rPr>
          <w:rFonts w:hint="eastAsia" w:ascii="宋体" w:hAnsi="宋体" w:eastAsia="宋体" w:cs="宋体"/>
          <w:bCs/>
          <w:szCs w:val="21"/>
        </w:rPr>
        <w:t>本公司常驻工程师。</w:t>
      </w:r>
    </w:p>
    <w:p w14:paraId="5FCD6DD7">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3</w:t>
      </w:r>
      <w:r>
        <w:rPr>
          <w:rFonts w:hint="eastAsia" w:ascii="宋体" w:hAnsi="宋体" w:eastAsia="宋体" w:cs="宋体"/>
          <w:bCs/>
          <w:szCs w:val="21"/>
        </w:rPr>
        <w:t>.本地备机备件保障要求：</w:t>
      </w:r>
      <w:r>
        <w:rPr>
          <w:rFonts w:hint="eastAsia" w:ascii="宋体" w:hAnsi="宋体" w:eastAsia="宋体" w:cs="宋体"/>
          <w:bCs/>
          <w:szCs w:val="21"/>
          <w:lang w:val="en-US" w:eastAsia="zh-CN"/>
        </w:rPr>
        <w:t>推介</w:t>
      </w:r>
      <w:r>
        <w:rPr>
          <w:rFonts w:hint="eastAsia" w:ascii="宋体" w:hAnsi="宋体" w:eastAsia="宋体" w:cs="宋体"/>
          <w:bCs/>
          <w:szCs w:val="21"/>
        </w:rPr>
        <w:t>人需在投标前对本项目维保设备进行梳理，并准备项目所需备机备件清单，并且注明可提供的现场备机备件，以及可提供的重庆本地备机备件。</w:t>
      </w:r>
    </w:p>
    <w:p w14:paraId="57741B28">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备品备件基本要求如下：</w:t>
      </w:r>
    </w:p>
    <w:tbl>
      <w:tblPr>
        <w:tblStyle w:val="6"/>
        <w:tblW w:w="6561" w:type="dxa"/>
        <w:jc w:val="center"/>
        <w:tblLayout w:type="fixed"/>
        <w:tblCellMar>
          <w:top w:w="0" w:type="dxa"/>
          <w:left w:w="108" w:type="dxa"/>
          <w:bottom w:w="0" w:type="dxa"/>
          <w:right w:w="108" w:type="dxa"/>
        </w:tblCellMar>
      </w:tblPr>
      <w:tblGrid>
        <w:gridCol w:w="1777"/>
        <w:gridCol w:w="2806"/>
        <w:gridCol w:w="711"/>
        <w:gridCol w:w="1267"/>
      </w:tblGrid>
      <w:tr w14:paraId="7F5DB590">
        <w:tblPrEx>
          <w:tblCellMar>
            <w:top w:w="0" w:type="dxa"/>
            <w:left w:w="108" w:type="dxa"/>
            <w:bottom w:w="0" w:type="dxa"/>
            <w:right w:w="108" w:type="dxa"/>
          </w:tblCellMar>
        </w:tblPrEx>
        <w:trPr>
          <w:trHeight w:val="421" w:hRule="atLeast"/>
          <w:jc w:val="center"/>
        </w:trPr>
        <w:tc>
          <w:tcPr>
            <w:tcW w:w="1777" w:type="dxa"/>
            <w:tcBorders>
              <w:top w:val="single" w:color="auto" w:sz="4" w:space="0"/>
              <w:left w:val="nil"/>
              <w:bottom w:val="single" w:color="auto" w:sz="4" w:space="0"/>
              <w:right w:val="single" w:color="auto" w:sz="4" w:space="0"/>
            </w:tcBorders>
            <w:noWrap/>
            <w:vAlign w:val="center"/>
          </w:tcPr>
          <w:p w14:paraId="2C320D25">
            <w:pPr>
              <w:widowControl/>
              <w:spacing w:line="360" w:lineRule="exact"/>
              <w:ind w:firstLine="420" w:firstLineChars="200"/>
              <w:rPr>
                <w:rFonts w:hint="eastAsia" w:ascii="宋体" w:hAnsi="宋体" w:eastAsia="宋体" w:cs="宋体"/>
                <w:bCs/>
                <w:kern w:val="0"/>
                <w:szCs w:val="21"/>
                <w:lang w:val="en-GB"/>
              </w:rPr>
            </w:pPr>
            <w:r>
              <w:rPr>
                <w:rFonts w:hint="eastAsia" w:ascii="宋体" w:hAnsi="宋体" w:eastAsia="宋体" w:cs="宋体"/>
                <w:bCs/>
                <w:kern w:val="0"/>
                <w:szCs w:val="21"/>
                <w:lang w:val="en-GB"/>
              </w:rPr>
              <w:t>型号</w:t>
            </w:r>
          </w:p>
        </w:tc>
        <w:tc>
          <w:tcPr>
            <w:tcW w:w="2806" w:type="dxa"/>
            <w:tcBorders>
              <w:top w:val="single" w:color="auto" w:sz="4" w:space="0"/>
              <w:left w:val="nil"/>
              <w:bottom w:val="single" w:color="auto" w:sz="4" w:space="0"/>
              <w:right w:val="single" w:color="auto" w:sz="4" w:space="0"/>
            </w:tcBorders>
            <w:noWrap/>
            <w:vAlign w:val="center"/>
          </w:tcPr>
          <w:p w14:paraId="570CC6E5">
            <w:pPr>
              <w:widowControl/>
              <w:spacing w:line="360" w:lineRule="exact"/>
              <w:jc w:val="center"/>
              <w:rPr>
                <w:rFonts w:hint="eastAsia" w:ascii="宋体" w:hAnsi="宋体" w:eastAsia="宋体" w:cs="宋体"/>
                <w:bCs/>
                <w:kern w:val="0"/>
                <w:szCs w:val="21"/>
                <w:lang w:val="en-GB"/>
              </w:rPr>
            </w:pPr>
            <w:r>
              <w:rPr>
                <w:rFonts w:hint="eastAsia" w:ascii="宋体" w:hAnsi="宋体" w:eastAsia="宋体" w:cs="宋体"/>
                <w:bCs/>
                <w:kern w:val="0"/>
                <w:szCs w:val="21"/>
                <w:lang w:val="en-GB"/>
              </w:rPr>
              <w:t>说明</w:t>
            </w:r>
          </w:p>
        </w:tc>
        <w:tc>
          <w:tcPr>
            <w:tcW w:w="711" w:type="dxa"/>
            <w:tcBorders>
              <w:top w:val="single" w:color="auto" w:sz="4" w:space="0"/>
              <w:left w:val="nil"/>
              <w:bottom w:val="single" w:color="auto" w:sz="4" w:space="0"/>
              <w:right w:val="single" w:color="auto" w:sz="4" w:space="0"/>
            </w:tcBorders>
            <w:noWrap/>
            <w:vAlign w:val="center"/>
          </w:tcPr>
          <w:p w14:paraId="11BE125E">
            <w:pPr>
              <w:widowControl/>
              <w:spacing w:line="360" w:lineRule="exact"/>
              <w:jc w:val="center"/>
              <w:rPr>
                <w:rFonts w:hint="eastAsia" w:ascii="宋体" w:hAnsi="宋体" w:eastAsia="宋体" w:cs="宋体"/>
                <w:bCs/>
                <w:kern w:val="0"/>
                <w:szCs w:val="21"/>
                <w:lang w:val="en-GB"/>
              </w:rPr>
            </w:pPr>
            <w:r>
              <w:rPr>
                <w:rFonts w:hint="eastAsia" w:ascii="宋体" w:hAnsi="宋体" w:eastAsia="宋体" w:cs="宋体"/>
                <w:bCs/>
                <w:kern w:val="0"/>
                <w:szCs w:val="21"/>
                <w:lang w:val="en-GB"/>
              </w:rPr>
              <w:t>数量</w:t>
            </w:r>
          </w:p>
        </w:tc>
        <w:tc>
          <w:tcPr>
            <w:tcW w:w="1267" w:type="dxa"/>
            <w:tcBorders>
              <w:top w:val="single" w:color="auto" w:sz="4" w:space="0"/>
              <w:left w:val="nil"/>
              <w:bottom w:val="single" w:color="auto" w:sz="4" w:space="0"/>
              <w:right w:val="single" w:color="auto" w:sz="4" w:space="0"/>
            </w:tcBorders>
            <w:noWrap/>
            <w:vAlign w:val="center"/>
          </w:tcPr>
          <w:p w14:paraId="6444F67F">
            <w:pPr>
              <w:widowControl/>
              <w:spacing w:line="360" w:lineRule="exact"/>
              <w:jc w:val="center"/>
              <w:rPr>
                <w:rFonts w:hint="eastAsia" w:ascii="宋体" w:hAnsi="宋体" w:eastAsia="宋体" w:cs="宋体"/>
                <w:bCs/>
                <w:kern w:val="0"/>
                <w:szCs w:val="21"/>
                <w:lang w:val="en-GB"/>
              </w:rPr>
            </w:pPr>
            <w:r>
              <w:rPr>
                <w:rFonts w:hint="eastAsia" w:ascii="宋体" w:hAnsi="宋体" w:eastAsia="宋体" w:cs="宋体"/>
                <w:bCs/>
                <w:kern w:val="0"/>
                <w:szCs w:val="21"/>
                <w:lang w:val="en-GB"/>
              </w:rPr>
              <w:t>储备地点</w:t>
            </w:r>
          </w:p>
        </w:tc>
      </w:tr>
      <w:tr w14:paraId="23BDFAC8">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1E5EB930">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NETAPP 8040存储</w:t>
            </w:r>
          </w:p>
        </w:tc>
        <w:tc>
          <w:tcPr>
            <w:tcW w:w="2806" w:type="dxa"/>
            <w:tcBorders>
              <w:top w:val="nil"/>
              <w:left w:val="nil"/>
              <w:bottom w:val="single" w:color="auto" w:sz="4" w:space="0"/>
              <w:right w:val="single" w:color="auto" w:sz="4" w:space="0"/>
            </w:tcBorders>
            <w:noWrap/>
            <w:vAlign w:val="center"/>
          </w:tcPr>
          <w:p w14:paraId="656FAC9E">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可正常使用的NETAPP 8040存储整机一套，含我院使用的磁盘柜1个及各类规格硬盘（每种硬盘数量不少于5块）</w:t>
            </w:r>
          </w:p>
        </w:tc>
        <w:tc>
          <w:tcPr>
            <w:tcW w:w="711" w:type="dxa"/>
            <w:tcBorders>
              <w:top w:val="nil"/>
              <w:left w:val="nil"/>
              <w:bottom w:val="single" w:color="auto" w:sz="4" w:space="0"/>
              <w:right w:val="single" w:color="auto" w:sz="4" w:space="0"/>
            </w:tcBorders>
            <w:noWrap/>
            <w:vAlign w:val="center"/>
          </w:tcPr>
          <w:p w14:paraId="6D1438A9">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1套</w:t>
            </w:r>
          </w:p>
        </w:tc>
        <w:tc>
          <w:tcPr>
            <w:tcW w:w="1267" w:type="dxa"/>
            <w:tcBorders>
              <w:top w:val="nil"/>
              <w:left w:val="nil"/>
              <w:bottom w:val="single" w:color="auto" w:sz="4" w:space="0"/>
              <w:right w:val="single" w:color="auto" w:sz="4" w:space="0"/>
            </w:tcBorders>
            <w:noWrap/>
            <w:vAlign w:val="center"/>
          </w:tcPr>
          <w:p w14:paraId="3F41A6D4">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5E7EC689">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3ACACD92">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Netapp FAS2720存储</w:t>
            </w:r>
          </w:p>
        </w:tc>
        <w:tc>
          <w:tcPr>
            <w:tcW w:w="2806" w:type="dxa"/>
            <w:tcBorders>
              <w:top w:val="nil"/>
              <w:left w:val="nil"/>
              <w:bottom w:val="single" w:color="auto" w:sz="4" w:space="0"/>
              <w:right w:val="single" w:color="auto" w:sz="4" w:space="0"/>
            </w:tcBorders>
            <w:noWrap/>
            <w:vAlign w:val="center"/>
          </w:tcPr>
          <w:p w14:paraId="6D5A28B6">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可正常使用的NETAPP FAS2720存储整机一套，含我院使用的磁盘柜1个及各类规格硬盘（每种硬盘数量不少于5块）</w:t>
            </w:r>
          </w:p>
        </w:tc>
        <w:tc>
          <w:tcPr>
            <w:tcW w:w="711" w:type="dxa"/>
            <w:tcBorders>
              <w:top w:val="nil"/>
              <w:left w:val="nil"/>
              <w:bottom w:val="single" w:color="auto" w:sz="4" w:space="0"/>
              <w:right w:val="single" w:color="auto" w:sz="4" w:space="0"/>
            </w:tcBorders>
            <w:noWrap/>
            <w:vAlign w:val="center"/>
          </w:tcPr>
          <w:p w14:paraId="561EC905">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1套</w:t>
            </w:r>
          </w:p>
        </w:tc>
        <w:tc>
          <w:tcPr>
            <w:tcW w:w="1267" w:type="dxa"/>
            <w:tcBorders>
              <w:top w:val="nil"/>
              <w:left w:val="nil"/>
              <w:bottom w:val="single" w:color="auto" w:sz="4" w:space="0"/>
              <w:right w:val="single" w:color="auto" w:sz="4" w:space="0"/>
            </w:tcBorders>
            <w:noWrap/>
            <w:vAlign w:val="center"/>
          </w:tcPr>
          <w:p w14:paraId="2AD6B4D3">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62981030">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52D942ED">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EMC</w:t>
            </w:r>
            <w:r>
              <w:rPr>
                <w:rFonts w:hint="eastAsia" w:ascii="宋体" w:hAnsi="宋体" w:eastAsia="宋体" w:cs="宋体"/>
                <w:bCs/>
                <w:kern w:val="0"/>
                <w:szCs w:val="21"/>
              </w:rPr>
              <w:t xml:space="preserve"> </w:t>
            </w:r>
            <w:r>
              <w:rPr>
                <w:rFonts w:hint="eastAsia" w:ascii="宋体" w:hAnsi="宋体" w:eastAsia="宋体" w:cs="宋体"/>
                <w:bCs/>
                <w:kern w:val="0"/>
                <w:szCs w:val="21"/>
                <w:lang w:val="en-GB"/>
              </w:rPr>
              <w:t>UNITY500</w:t>
            </w:r>
            <w:r>
              <w:rPr>
                <w:rFonts w:hint="eastAsia" w:ascii="宋体" w:hAnsi="宋体" w:eastAsia="宋体" w:cs="宋体"/>
                <w:bCs/>
                <w:kern w:val="0"/>
                <w:szCs w:val="21"/>
              </w:rPr>
              <w:t xml:space="preserve"> </w:t>
            </w:r>
            <w:r>
              <w:rPr>
                <w:rFonts w:hint="eastAsia" w:ascii="宋体" w:hAnsi="宋体" w:eastAsia="宋体" w:cs="宋体"/>
                <w:bCs/>
                <w:kern w:val="0"/>
                <w:szCs w:val="21"/>
                <w:lang w:val="en-GB"/>
              </w:rPr>
              <w:t>存储</w:t>
            </w:r>
          </w:p>
        </w:tc>
        <w:tc>
          <w:tcPr>
            <w:tcW w:w="2806" w:type="dxa"/>
            <w:tcBorders>
              <w:top w:val="nil"/>
              <w:left w:val="nil"/>
              <w:bottom w:val="single" w:color="auto" w:sz="4" w:space="0"/>
              <w:right w:val="single" w:color="auto" w:sz="4" w:space="0"/>
            </w:tcBorders>
            <w:noWrap/>
            <w:vAlign w:val="center"/>
          </w:tcPr>
          <w:p w14:paraId="34B54398">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可正常使用的UNITY 500存储整机一套，含我院使用的磁盘柜1个及各类规格硬盘（每种规格数量不少于5块）</w:t>
            </w:r>
          </w:p>
        </w:tc>
        <w:tc>
          <w:tcPr>
            <w:tcW w:w="711" w:type="dxa"/>
            <w:tcBorders>
              <w:top w:val="nil"/>
              <w:left w:val="nil"/>
              <w:bottom w:val="single" w:color="auto" w:sz="4" w:space="0"/>
              <w:right w:val="single" w:color="auto" w:sz="4" w:space="0"/>
            </w:tcBorders>
            <w:noWrap/>
            <w:vAlign w:val="center"/>
          </w:tcPr>
          <w:p w14:paraId="5AA0CD32">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1套</w:t>
            </w:r>
          </w:p>
        </w:tc>
        <w:tc>
          <w:tcPr>
            <w:tcW w:w="1267" w:type="dxa"/>
            <w:tcBorders>
              <w:top w:val="nil"/>
              <w:left w:val="nil"/>
              <w:bottom w:val="single" w:color="auto" w:sz="4" w:space="0"/>
              <w:right w:val="single" w:color="auto" w:sz="4" w:space="0"/>
            </w:tcBorders>
            <w:noWrap/>
            <w:vAlign w:val="center"/>
          </w:tcPr>
          <w:p w14:paraId="09DDCAF4">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511F8376">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7C0AEE11">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 xml:space="preserve">EMC </w:t>
            </w:r>
            <w:r>
              <w:rPr>
                <w:rFonts w:hint="eastAsia" w:ascii="宋体" w:hAnsi="宋体" w:eastAsia="宋体" w:cs="宋体"/>
                <w:bCs/>
                <w:kern w:val="0"/>
                <w:szCs w:val="21"/>
              </w:rPr>
              <w:t>XT 480</w:t>
            </w:r>
            <w:r>
              <w:rPr>
                <w:rFonts w:hint="eastAsia" w:ascii="宋体" w:hAnsi="宋体" w:eastAsia="宋体" w:cs="宋体"/>
                <w:bCs/>
                <w:kern w:val="0"/>
                <w:szCs w:val="21"/>
                <w:lang w:val="en-GB"/>
              </w:rPr>
              <w:t>存储</w:t>
            </w:r>
          </w:p>
        </w:tc>
        <w:tc>
          <w:tcPr>
            <w:tcW w:w="2806" w:type="dxa"/>
            <w:tcBorders>
              <w:top w:val="nil"/>
              <w:left w:val="nil"/>
              <w:bottom w:val="single" w:color="auto" w:sz="4" w:space="0"/>
              <w:right w:val="single" w:color="auto" w:sz="4" w:space="0"/>
            </w:tcBorders>
            <w:noWrap/>
            <w:vAlign w:val="center"/>
          </w:tcPr>
          <w:p w14:paraId="44CC517D">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可正常使用的</w:t>
            </w:r>
            <w:r>
              <w:rPr>
                <w:rFonts w:hint="eastAsia" w:ascii="宋体" w:hAnsi="宋体" w:eastAsia="宋体" w:cs="宋体"/>
                <w:bCs/>
                <w:kern w:val="0"/>
                <w:szCs w:val="21"/>
              </w:rPr>
              <w:t>XT480</w:t>
            </w:r>
            <w:r>
              <w:rPr>
                <w:rFonts w:hint="eastAsia" w:ascii="宋体" w:hAnsi="宋体" w:eastAsia="宋体" w:cs="宋体"/>
                <w:bCs/>
                <w:kern w:val="0"/>
                <w:szCs w:val="21"/>
                <w:lang w:val="en-GB"/>
              </w:rPr>
              <w:t>存储整机一套，含我院使用的磁盘柜1个及各类规格硬盘（每种规格数量不少于5块）</w:t>
            </w:r>
          </w:p>
        </w:tc>
        <w:tc>
          <w:tcPr>
            <w:tcW w:w="711" w:type="dxa"/>
            <w:tcBorders>
              <w:top w:val="nil"/>
              <w:left w:val="nil"/>
              <w:bottom w:val="single" w:color="auto" w:sz="4" w:space="0"/>
              <w:right w:val="single" w:color="auto" w:sz="4" w:space="0"/>
            </w:tcBorders>
            <w:noWrap/>
            <w:vAlign w:val="center"/>
          </w:tcPr>
          <w:p w14:paraId="6525602A">
            <w:pPr>
              <w:widowControl/>
              <w:spacing w:line="360" w:lineRule="exact"/>
              <w:rPr>
                <w:rFonts w:hint="eastAsia" w:ascii="宋体" w:hAnsi="宋体" w:eastAsia="宋体" w:cs="宋体"/>
                <w:bCs/>
                <w:kern w:val="0"/>
                <w:szCs w:val="21"/>
              </w:rPr>
            </w:pPr>
            <w:r>
              <w:rPr>
                <w:rFonts w:hint="eastAsia" w:ascii="宋体" w:hAnsi="宋体" w:eastAsia="宋体" w:cs="宋体"/>
                <w:bCs/>
                <w:kern w:val="0"/>
                <w:szCs w:val="21"/>
              </w:rPr>
              <w:t>1套</w:t>
            </w:r>
          </w:p>
        </w:tc>
        <w:tc>
          <w:tcPr>
            <w:tcW w:w="1267" w:type="dxa"/>
            <w:tcBorders>
              <w:top w:val="nil"/>
              <w:left w:val="nil"/>
              <w:bottom w:val="single" w:color="auto" w:sz="4" w:space="0"/>
              <w:right w:val="single" w:color="auto" w:sz="4" w:space="0"/>
            </w:tcBorders>
            <w:noWrap/>
            <w:vAlign w:val="center"/>
          </w:tcPr>
          <w:p w14:paraId="0B86ADF0">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07D0A441">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132886C8">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H3C 12508交换机</w:t>
            </w:r>
          </w:p>
        </w:tc>
        <w:tc>
          <w:tcPr>
            <w:tcW w:w="2806" w:type="dxa"/>
            <w:tcBorders>
              <w:top w:val="nil"/>
              <w:left w:val="nil"/>
              <w:bottom w:val="single" w:color="auto" w:sz="4" w:space="0"/>
              <w:right w:val="single" w:color="auto" w:sz="4" w:space="0"/>
            </w:tcBorders>
            <w:noWrap/>
            <w:vAlign w:val="center"/>
          </w:tcPr>
          <w:p w14:paraId="466DABB4">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H3C 12508交换机引擎板卡、扩展板卡、交换板卡、风扇及电源模块各1套</w:t>
            </w:r>
          </w:p>
        </w:tc>
        <w:tc>
          <w:tcPr>
            <w:tcW w:w="711" w:type="dxa"/>
            <w:tcBorders>
              <w:top w:val="nil"/>
              <w:left w:val="nil"/>
              <w:bottom w:val="single" w:color="auto" w:sz="4" w:space="0"/>
              <w:right w:val="single" w:color="auto" w:sz="4" w:space="0"/>
            </w:tcBorders>
            <w:noWrap/>
            <w:vAlign w:val="center"/>
          </w:tcPr>
          <w:p w14:paraId="48FBC5D5">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1套</w:t>
            </w:r>
          </w:p>
        </w:tc>
        <w:tc>
          <w:tcPr>
            <w:tcW w:w="1267" w:type="dxa"/>
            <w:tcBorders>
              <w:top w:val="nil"/>
              <w:left w:val="nil"/>
              <w:bottom w:val="single" w:color="auto" w:sz="4" w:space="0"/>
              <w:right w:val="single" w:color="auto" w:sz="4" w:space="0"/>
            </w:tcBorders>
            <w:noWrap/>
            <w:vAlign w:val="center"/>
          </w:tcPr>
          <w:p w14:paraId="73B8AE35">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129BD01C">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38CB7AC6">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光纤交换机</w:t>
            </w:r>
          </w:p>
        </w:tc>
        <w:tc>
          <w:tcPr>
            <w:tcW w:w="2806" w:type="dxa"/>
            <w:tcBorders>
              <w:top w:val="nil"/>
              <w:left w:val="nil"/>
              <w:bottom w:val="single" w:color="auto" w:sz="4" w:space="0"/>
              <w:right w:val="single" w:color="auto" w:sz="4" w:space="0"/>
            </w:tcBorders>
            <w:noWrap/>
            <w:vAlign w:val="center"/>
          </w:tcPr>
          <w:p w14:paraId="1619516E">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满足我院现网要求，可替代的光交（包含16G模块）</w:t>
            </w:r>
          </w:p>
        </w:tc>
        <w:tc>
          <w:tcPr>
            <w:tcW w:w="711" w:type="dxa"/>
            <w:tcBorders>
              <w:top w:val="nil"/>
              <w:left w:val="nil"/>
              <w:bottom w:val="single" w:color="auto" w:sz="4" w:space="0"/>
              <w:right w:val="single" w:color="auto" w:sz="4" w:space="0"/>
            </w:tcBorders>
            <w:noWrap/>
            <w:vAlign w:val="center"/>
          </w:tcPr>
          <w:p w14:paraId="458D32B3">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1台</w:t>
            </w:r>
          </w:p>
        </w:tc>
        <w:tc>
          <w:tcPr>
            <w:tcW w:w="1267" w:type="dxa"/>
            <w:tcBorders>
              <w:top w:val="nil"/>
              <w:left w:val="nil"/>
              <w:bottom w:val="single" w:color="auto" w:sz="4" w:space="0"/>
              <w:right w:val="single" w:color="auto" w:sz="4" w:space="0"/>
            </w:tcBorders>
            <w:noWrap/>
            <w:vAlign w:val="center"/>
          </w:tcPr>
          <w:p w14:paraId="7F18BC34">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640FD284">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6601CA2C">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服务器</w:t>
            </w:r>
          </w:p>
        </w:tc>
        <w:tc>
          <w:tcPr>
            <w:tcW w:w="2806" w:type="dxa"/>
            <w:tcBorders>
              <w:top w:val="nil"/>
              <w:left w:val="nil"/>
              <w:bottom w:val="single" w:color="auto" w:sz="4" w:space="0"/>
              <w:right w:val="single" w:color="auto" w:sz="4" w:space="0"/>
            </w:tcBorders>
            <w:noWrap/>
            <w:vAlign w:val="center"/>
          </w:tcPr>
          <w:p w14:paraId="2FFEC6FA">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本次参保服务器各型号相关整机及备件</w:t>
            </w:r>
          </w:p>
        </w:tc>
        <w:tc>
          <w:tcPr>
            <w:tcW w:w="711" w:type="dxa"/>
            <w:tcBorders>
              <w:top w:val="nil"/>
              <w:left w:val="nil"/>
              <w:bottom w:val="single" w:color="auto" w:sz="4" w:space="0"/>
              <w:right w:val="single" w:color="auto" w:sz="4" w:space="0"/>
            </w:tcBorders>
            <w:noWrap/>
            <w:vAlign w:val="center"/>
          </w:tcPr>
          <w:p w14:paraId="2EA48A46">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1套</w:t>
            </w:r>
          </w:p>
        </w:tc>
        <w:tc>
          <w:tcPr>
            <w:tcW w:w="1267" w:type="dxa"/>
            <w:tcBorders>
              <w:top w:val="nil"/>
              <w:left w:val="nil"/>
              <w:bottom w:val="single" w:color="auto" w:sz="4" w:space="0"/>
              <w:right w:val="single" w:color="auto" w:sz="4" w:space="0"/>
            </w:tcBorders>
            <w:noWrap/>
            <w:vAlign w:val="center"/>
          </w:tcPr>
          <w:p w14:paraId="3C261AEF">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r w14:paraId="132C5341">
        <w:tblPrEx>
          <w:tblCellMar>
            <w:top w:w="0" w:type="dxa"/>
            <w:left w:w="108" w:type="dxa"/>
            <w:bottom w:w="0" w:type="dxa"/>
            <w:right w:w="108" w:type="dxa"/>
          </w:tblCellMar>
        </w:tblPrEx>
        <w:trPr>
          <w:trHeight w:val="348" w:hRule="atLeast"/>
          <w:jc w:val="center"/>
        </w:trPr>
        <w:tc>
          <w:tcPr>
            <w:tcW w:w="1777" w:type="dxa"/>
            <w:tcBorders>
              <w:top w:val="nil"/>
              <w:left w:val="nil"/>
              <w:bottom w:val="single" w:color="auto" w:sz="4" w:space="0"/>
              <w:right w:val="single" w:color="auto" w:sz="4" w:space="0"/>
            </w:tcBorders>
            <w:noWrap/>
            <w:vAlign w:val="center"/>
          </w:tcPr>
          <w:p w14:paraId="4D0AB992">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其它</w:t>
            </w:r>
          </w:p>
        </w:tc>
        <w:tc>
          <w:tcPr>
            <w:tcW w:w="2806" w:type="dxa"/>
            <w:tcBorders>
              <w:top w:val="nil"/>
              <w:left w:val="nil"/>
              <w:bottom w:val="single" w:color="auto" w:sz="4" w:space="0"/>
              <w:right w:val="single" w:color="auto" w:sz="4" w:space="0"/>
            </w:tcBorders>
            <w:noWrap/>
            <w:vAlign w:val="center"/>
          </w:tcPr>
          <w:p w14:paraId="04D4A68D">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自拟</w:t>
            </w:r>
          </w:p>
        </w:tc>
        <w:tc>
          <w:tcPr>
            <w:tcW w:w="711" w:type="dxa"/>
            <w:tcBorders>
              <w:top w:val="nil"/>
              <w:left w:val="nil"/>
              <w:bottom w:val="single" w:color="auto" w:sz="4" w:space="0"/>
              <w:right w:val="single" w:color="auto" w:sz="4" w:space="0"/>
            </w:tcBorders>
            <w:noWrap/>
            <w:vAlign w:val="center"/>
          </w:tcPr>
          <w:p w14:paraId="75694346">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自拟</w:t>
            </w:r>
          </w:p>
        </w:tc>
        <w:tc>
          <w:tcPr>
            <w:tcW w:w="1267" w:type="dxa"/>
            <w:tcBorders>
              <w:top w:val="nil"/>
              <w:left w:val="nil"/>
              <w:bottom w:val="single" w:color="auto" w:sz="4" w:space="0"/>
              <w:right w:val="single" w:color="auto" w:sz="4" w:space="0"/>
            </w:tcBorders>
            <w:noWrap/>
            <w:vAlign w:val="center"/>
          </w:tcPr>
          <w:p w14:paraId="270E3B6B">
            <w:pPr>
              <w:widowControl/>
              <w:spacing w:line="360" w:lineRule="exact"/>
              <w:rPr>
                <w:rFonts w:hint="eastAsia" w:ascii="宋体" w:hAnsi="宋体" w:eastAsia="宋体" w:cs="宋体"/>
                <w:bCs/>
                <w:kern w:val="0"/>
                <w:szCs w:val="21"/>
                <w:lang w:val="en-GB"/>
              </w:rPr>
            </w:pPr>
            <w:r>
              <w:rPr>
                <w:rFonts w:hint="eastAsia" w:ascii="宋体" w:hAnsi="宋体" w:eastAsia="宋体" w:cs="宋体"/>
                <w:bCs/>
                <w:kern w:val="0"/>
                <w:szCs w:val="21"/>
                <w:lang w:val="en-GB"/>
              </w:rPr>
              <w:t>重庆主城区或用户指定地点</w:t>
            </w:r>
          </w:p>
        </w:tc>
      </w:tr>
    </w:tbl>
    <w:p w14:paraId="06A29DE2">
      <w:pPr>
        <w:snapToGrid w:val="0"/>
        <w:spacing w:line="400" w:lineRule="exact"/>
        <w:ind w:firstLine="420" w:firstLineChars="200"/>
        <w:rPr>
          <w:rFonts w:hint="eastAsia" w:ascii="宋体" w:hAnsi="宋体" w:eastAsia="宋体" w:cs="宋体"/>
          <w:color w:val="FF0000"/>
          <w:szCs w:val="21"/>
          <w:lang w:val="en-GB"/>
        </w:rPr>
      </w:pPr>
    </w:p>
    <w:p w14:paraId="343E2D4E">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4</w:t>
      </w:r>
      <w:r>
        <w:rPr>
          <w:rFonts w:hint="eastAsia" w:ascii="宋体" w:hAnsi="宋体" w:eastAsia="宋体" w:cs="宋体"/>
          <w:bCs/>
          <w:szCs w:val="21"/>
        </w:rPr>
        <w:t>.维保服务期须安排专业工程师每季度上门进行一次现场深度预防性巡检，另按需提供重大节假日巡检及重大事件保障等现场服务，每次均需出具专业巡检服务报告，每半年及年终均需按院方要求出具半/年度维护服务总结报告。</w:t>
      </w:r>
    </w:p>
    <w:p w14:paraId="60BB59BB">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5</w:t>
      </w:r>
      <w:r>
        <w:rPr>
          <w:rFonts w:hint="eastAsia" w:ascii="宋体" w:hAnsi="宋体" w:eastAsia="宋体" w:cs="宋体"/>
          <w:bCs/>
          <w:szCs w:val="21"/>
        </w:rPr>
        <w:t>.提供多种服务方式：互联网技术远程支持，现场技术服务、电话及传真咨询服务，电子邮件服务，提供7×24服务热线，包括7×24电话支持、技术和方案咨询，随时对医院技术要求做出快速响应；</w:t>
      </w:r>
    </w:p>
    <w:p w14:paraId="6955B9B4">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6</w:t>
      </w:r>
      <w:r>
        <w:rPr>
          <w:rFonts w:hint="eastAsia" w:ascii="宋体" w:hAnsi="宋体" w:eastAsia="宋体" w:cs="宋体"/>
          <w:bCs/>
          <w:szCs w:val="21"/>
        </w:rPr>
        <w:t>.维保服务期内维保设备出现故障，乙方在接到通知后的20分钟内反应，2小时内到达现场，力争2小时内完成故障处理或配件更换，如遇复杂故障，应给出详细处置方案，明确处置节点。同时需有充分的夜间响应和服务能力，确保在接到夜间故障通知后也能够按时限要求抵达现场，并提供夜间保障人员名单、值班排班表及联系方式。</w:t>
      </w:r>
    </w:p>
    <w:p w14:paraId="7B208845">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7</w:t>
      </w:r>
      <w:r>
        <w:rPr>
          <w:rFonts w:hint="eastAsia" w:ascii="宋体" w:hAnsi="宋体" w:eastAsia="宋体" w:cs="宋体"/>
          <w:bCs/>
          <w:szCs w:val="21"/>
        </w:rPr>
        <w:t>.在维保服务期内根据我院实际需求，对清单内重点设备（如：UNITY存储、NETAPP存储及核心交换机等）提供系统或固件版本升级，次数不限，并需提供完善的升级方案。 同时提供全院（渝中院区和江南院区）</w:t>
      </w:r>
      <w:r>
        <w:rPr>
          <w:rFonts w:hint="eastAsia" w:ascii="宋体" w:hAnsi="宋体" w:eastAsia="宋体" w:cs="宋体"/>
          <w:bCs/>
          <w:szCs w:val="21"/>
          <w:lang w:eastAsia="zh-CN"/>
        </w:rPr>
        <w:t>的虚拟化集群</w:t>
      </w:r>
      <w:r>
        <w:rPr>
          <w:rFonts w:hint="eastAsia" w:ascii="宋体" w:hAnsi="宋体" w:eastAsia="宋体" w:cs="宋体"/>
          <w:bCs/>
          <w:szCs w:val="21"/>
        </w:rPr>
        <w:t>日常运维和故障诊断排查工作。</w:t>
      </w:r>
    </w:p>
    <w:p w14:paraId="34E8E8A3">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8</w:t>
      </w:r>
      <w:r>
        <w:rPr>
          <w:rFonts w:hint="eastAsia" w:ascii="宋体" w:hAnsi="宋体" w:eastAsia="宋体" w:cs="宋体"/>
          <w:bCs/>
          <w:szCs w:val="21"/>
        </w:rPr>
        <w:t>.需在维保服务期内针对维保设备及相关连接设备提供软硬件安装、运维、故障排除：包括但不限于服务器、存储等设备搬迁上架，系统和集群相关软件的安装、调试，虚拟化集群优化服务，FC网络调整（包含服务器，存储，交换机）；同时需要把我院所有机房内硬件设备（服务器、存储、交换机）进行梳理，形成清单（体现具体型号、业务地址、管理地址、设备用途、物理位置、序列号、维保到期时间、供货商），并在维保服务期内实时更新。</w:t>
      </w:r>
    </w:p>
    <w:p w14:paraId="2A7905EF">
      <w:pPr>
        <w:pStyle w:val="2"/>
        <w:spacing w:line="360" w:lineRule="auto"/>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b w:val="0"/>
          <w:bCs/>
          <w:kern w:val="2"/>
          <w:sz w:val="21"/>
          <w:szCs w:val="21"/>
          <w:lang w:val="en-US" w:eastAsia="zh-CN" w:bidi="ar-SA"/>
        </w:rPr>
        <w:t>9</w:t>
      </w:r>
      <w:r>
        <w:rPr>
          <w:rFonts w:hint="eastAsia" w:ascii="宋体" w:hAnsi="宋体" w:eastAsia="宋体" w:cs="宋体"/>
          <w:b w:val="0"/>
          <w:sz w:val="21"/>
          <w:szCs w:val="21"/>
        </w:rPr>
        <w:t>.设备搬迁：本项目所维保设备分别部署于不同机房，按照院方设备搬迁需要，在维保期内为所维保设备提供同机房、跨机房、跨院区的设备迁移服务。工作内容包括设备迁移前的备份与准备；数据中心之间的物理搬迁；设备搬迁后的系统恢复，直至系统恢复正常运转；按照院方要求，配合其它软硬件厂商进行的系统调试和集成。</w:t>
      </w:r>
    </w:p>
    <w:p w14:paraId="4914BDDF">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lang w:val="en-US" w:eastAsia="zh-CN"/>
        </w:rPr>
        <w:t>10</w:t>
      </w:r>
      <w:r>
        <w:rPr>
          <w:rFonts w:hint="eastAsia" w:ascii="宋体" w:hAnsi="宋体" w:eastAsia="宋体" w:cs="宋体"/>
          <w:bCs/>
          <w:szCs w:val="21"/>
        </w:rPr>
        <w:t>.不得将本项目以任何形式转包或分包给任何其他单位或个人。</w:t>
      </w:r>
    </w:p>
    <w:p w14:paraId="4880F904">
      <w:pPr>
        <w:widowControl/>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1</w:t>
      </w:r>
      <w:r>
        <w:rPr>
          <w:rFonts w:hint="eastAsia" w:ascii="宋体" w:hAnsi="宋体" w:eastAsia="宋体" w:cs="宋体"/>
          <w:bCs/>
          <w:szCs w:val="21"/>
          <w:lang w:val="en-US" w:eastAsia="zh-CN"/>
        </w:rPr>
        <w:t>1</w:t>
      </w:r>
      <w:r>
        <w:rPr>
          <w:rFonts w:hint="eastAsia" w:ascii="宋体" w:hAnsi="宋体" w:eastAsia="宋体" w:cs="宋体"/>
          <w:bCs/>
          <w:szCs w:val="21"/>
        </w:rPr>
        <w:t>.维保服务期内，根据我院实际需要提供不低于30天的累计驻场服务，提供的驻场服务人员应具备专业运维能力，为对应需求的认证工程师，工作内容及到岗时间需根据我院运维项目的实际需求确定。</w:t>
      </w:r>
    </w:p>
    <w:p w14:paraId="529E58DA">
      <w:pPr>
        <w:widowControl/>
        <w:spacing w:line="360" w:lineRule="auto"/>
        <w:ind w:firstLine="420" w:firstLineChars="200"/>
        <w:jc w:val="left"/>
        <w:outlineLvl w:val="1"/>
        <w:rPr>
          <w:rFonts w:hint="eastAsia" w:ascii="宋体" w:hAnsi="宋体" w:eastAsia="宋体" w:cs="宋体"/>
        </w:rPr>
      </w:pPr>
      <w:r>
        <w:rPr>
          <w:rFonts w:hint="eastAsia" w:ascii="宋体" w:hAnsi="宋体" w:eastAsia="宋体" w:cs="宋体"/>
          <w:bCs/>
          <w:szCs w:val="21"/>
        </w:rPr>
        <w:t>1</w:t>
      </w:r>
      <w:r>
        <w:rPr>
          <w:rFonts w:hint="eastAsia" w:ascii="宋体" w:hAnsi="宋体" w:eastAsia="宋体" w:cs="宋体"/>
          <w:bCs/>
          <w:szCs w:val="21"/>
          <w:lang w:val="en-US" w:eastAsia="zh-CN"/>
        </w:rPr>
        <w:t>2</w:t>
      </w:r>
      <w:r>
        <w:rPr>
          <w:rFonts w:hint="eastAsia" w:ascii="宋体" w:hAnsi="宋体" w:eastAsia="宋体" w:cs="宋体"/>
          <w:bCs/>
          <w:szCs w:val="21"/>
        </w:rPr>
        <w:t>.在维保服务期内如遇临时增加设备，我院可根据同型号单一设备的维保服务单价按照后续月份时长进行灵活增补。</w:t>
      </w:r>
    </w:p>
    <w:p w14:paraId="44A0A065">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五、维保服务时间</w:t>
      </w:r>
    </w:p>
    <w:p w14:paraId="008688A4">
      <w:pPr>
        <w:widowControl/>
        <w:spacing w:line="360" w:lineRule="auto"/>
        <w:ind w:firstLine="420" w:firstLineChars="200"/>
        <w:jc w:val="left"/>
        <w:outlineLvl w:val="1"/>
        <w:rPr>
          <w:rFonts w:hint="eastAsia" w:ascii="宋体" w:hAnsi="宋体" w:eastAsia="宋体" w:cs="宋体"/>
        </w:rPr>
      </w:pPr>
      <w:r>
        <w:rPr>
          <w:rFonts w:hint="eastAsia" w:ascii="宋体" w:hAnsi="宋体" w:eastAsia="宋体" w:cs="宋体"/>
          <w:bCs/>
          <w:szCs w:val="21"/>
        </w:rPr>
        <w:t>服务周期待定。服务合同到期后，如甲方书面通知要求延长服务时间，乙方应按合同内规定的同等服务标准提供服务；延长期服务费在服务终止后，参照原合同标准按实际服务自然日结算。</w:t>
      </w:r>
    </w:p>
    <w:p w14:paraId="2CB61652">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六、报价要求</w:t>
      </w:r>
    </w:p>
    <w:p w14:paraId="7568AFEF">
      <w:pPr>
        <w:widowControl/>
        <w:spacing w:line="360" w:lineRule="auto"/>
        <w:ind w:firstLine="420" w:firstLineChars="200"/>
        <w:jc w:val="left"/>
        <w:outlineLvl w:val="1"/>
        <w:rPr>
          <w:rFonts w:hint="eastAsia" w:ascii="宋体" w:hAnsi="宋体" w:eastAsia="宋体" w:cs="宋体"/>
          <w:color w:val="000000"/>
          <w:szCs w:val="21"/>
        </w:rPr>
      </w:pPr>
      <w:r>
        <w:rPr>
          <w:rFonts w:hint="eastAsia" w:ascii="宋体" w:hAnsi="宋体" w:eastAsia="宋体" w:cs="宋体"/>
          <w:bCs/>
          <w:szCs w:val="21"/>
        </w:rPr>
        <w:t>待定。</w:t>
      </w:r>
    </w:p>
    <w:p w14:paraId="4EA31DBA">
      <w:pPr>
        <w:widowControl/>
        <w:numPr>
          <w:ilvl w:val="0"/>
          <w:numId w:val="5"/>
        </w:numPr>
        <w:spacing w:line="360" w:lineRule="auto"/>
        <w:jc w:val="left"/>
        <w:outlineLvl w:val="1"/>
        <w:rPr>
          <w:rFonts w:hint="eastAsia" w:ascii="宋体" w:hAnsi="宋体" w:eastAsia="宋体" w:cs="宋体"/>
        </w:rPr>
      </w:pPr>
      <w:r>
        <w:rPr>
          <w:rFonts w:hint="eastAsia" w:ascii="宋体" w:hAnsi="宋体" w:eastAsia="宋体" w:cs="宋体"/>
          <w:b/>
          <w:bCs/>
          <w:color w:val="000000"/>
          <w:szCs w:val="21"/>
        </w:rPr>
        <w:t>评选方式</w:t>
      </w:r>
    </w:p>
    <w:p w14:paraId="12CB536F">
      <w:pPr>
        <w:pStyle w:val="2"/>
        <w:ind w:firstLine="420" w:firstLineChars="200"/>
        <w:rPr>
          <w:rFonts w:hint="eastAsia" w:ascii="宋体" w:hAnsi="宋体" w:eastAsia="宋体" w:cs="宋体"/>
        </w:rPr>
      </w:pPr>
      <w:r>
        <w:rPr>
          <w:rFonts w:hint="eastAsia" w:ascii="宋体" w:hAnsi="宋体" w:eastAsia="宋体" w:cs="宋体"/>
          <w:b w:val="0"/>
          <w:sz w:val="21"/>
          <w:szCs w:val="21"/>
        </w:rPr>
        <w:t>待定。</w:t>
      </w:r>
    </w:p>
    <w:p w14:paraId="2CCBED82">
      <w:pPr>
        <w:pStyle w:val="5"/>
        <w:numPr>
          <w:ilvl w:val="0"/>
          <w:numId w:val="6"/>
        </w:numPr>
        <w:spacing w:beforeAutospacing="0" w:afterAutospacing="0" w:line="360" w:lineRule="auto"/>
        <w:rPr>
          <w:rFonts w:hint="eastAsia" w:ascii="宋体" w:hAnsi="宋体" w:eastAsia="宋体" w:cs="宋体"/>
          <w:b/>
          <w:bCs/>
          <w:color w:val="000000"/>
          <w:kern w:val="2"/>
          <w:sz w:val="21"/>
          <w:szCs w:val="21"/>
        </w:rPr>
      </w:pPr>
      <w:r>
        <w:rPr>
          <w:rFonts w:hint="eastAsia" w:ascii="宋体" w:hAnsi="宋体" w:eastAsia="宋体" w:cs="宋体"/>
          <w:b/>
          <w:bCs/>
          <w:color w:val="000000"/>
          <w:kern w:val="2"/>
          <w:sz w:val="21"/>
          <w:szCs w:val="21"/>
        </w:rPr>
        <w:t>业绩要求</w:t>
      </w:r>
    </w:p>
    <w:p w14:paraId="48FC4EC1">
      <w:pPr>
        <w:pStyle w:val="5"/>
        <w:spacing w:beforeAutospacing="0" w:afterAutospacing="0"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r>
        <w:rPr>
          <w:rFonts w:hint="eastAsia" w:ascii="宋体" w:hAnsi="宋体" w:eastAsia="宋体" w:cs="宋体"/>
          <w:bCs/>
          <w:kern w:val="2"/>
          <w:sz w:val="21"/>
          <w:szCs w:val="21"/>
        </w:rPr>
        <w:t>待定。</w:t>
      </w:r>
    </w:p>
    <w:p w14:paraId="2B17BF63">
      <w:pPr>
        <w:pStyle w:val="5"/>
        <w:numPr>
          <w:ilvl w:val="0"/>
          <w:numId w:val="6"/>
        </w:numPr>
        <w:spacing w:beforeAutospacing="0" w:afterAutospacing="0" w:line="360" w:lineRule="auto"/>
        <w:rPr>
          <w:rFonts w:hint="eastAsia" w:ascii="宋体" w:hAnsi="宋体" w:eastAsia="宋体" w:cs="宋体"/>
          <w:b/>
          <w:bCs/>
          <w:color w:val="000000"/>
          <w:kern w:val="2"/>
          <w:sz w:val="21"/>
          <w:szCs w:val="21"/>
        </w:rPr>
      </w:pPr>
      <w:r>
        <w:rPr>
          <w:rFonts w:hint="eastAsia" w:ascii="宋体" w:hAnsi="宋体" w:eastAsia="宋体" w:cs="宋体"/>
          <w:b/>
          <w:bCs/>
          <w:color w:val="000000"/>
          <w:kern w:val="2"/>
          <w:sz w:val="21"/>
          <w:szCs w:val="21"/>
        </w:rPr>
        <w:t>保密条款</w:t>
      </w:r>
    </w:p>
    <w:p w14:paraId="702A699E">
      <w:pPr>
        <w:pStyle w:val="5"/>
        <w:spacing w:beforeAutospacing="0" w:afterAutospacing="0" w:line="360" w:lineRule="auto"/>
        <w:rPr>
          <w:rFonts w:hint="eastAsia" w:ascii="宋体" w:hAnsi="宋体" w:eastAsia="宋体" w:cs="宋体"/>
          <w:b/>
          <w:bCs/>
          <w:color w:val="000000"/>
          <w:kern w:val="2"/>
          <w:sz w:val="21"/>
          <w:szCs w:val="21"/>
        </w:rPr>
      </w:pPr>
      <w:r>
        <w:rPr>
          <w:rFonts w:hint="eastAsia" w:ascii="宋体" w:hAnsi="宋体" w:eastAsia="宋体" w:cs="宋体"/>
          <w:b/>
          <w:bCs/>
          <w:color w:val="000000"/>
          <w:kern w:val="2"/>
          <w:sz w:val="21"/>
          <w:szCs w:val="21"/>
        </w:rPr>
        <w:t xml:space="preserve">    </w:t>
      </w:r>
      <w:r>
        <w:rPr>
          <w:rFonts w:hint="eastAsia" w:ascii="宋体" w:hAnsi="宋体" w:eastAsia="宋体" w:cs="宋体"/>
          <w:b w:val="0"/>
          <w:bCs w:val="0"/>
          <w:color w:val="000000"/>
          <w:kern w:val="2"/>
          <w:sz w:val="21"/>
          <w:szCs w:val="21"/>
          <w:lang w:val="en-US" w:eastAsia="zh-CN"/>
        </w:rPr>
        <w:t>推介</w:t>
      </w:r>
      <w:r>
        <w:rPr>
          <w:rFonts w:hint="eastAsia" w:ascii="宋体" w:hAnsi="宋体" w:eastAsia="宋体" w:cs="宋体"/>
          <w:b w:val="0"/>
          <w:bCs w:val="0"/>
          <w:kern w:val="2"/>
          <w:sz w:val="21"/>
          <w:szCs w:val="21"/>
        </w:rPr>
        <w:t>人</w:t>
      </w:r>
      <w:r>
        <w:rPr>
          <w:rFonts w:hint="eastAsia" w:ascii="宋体" w:hAnsi="宋体" w:eastAsia="宋体" w:cs="宋体"/>
          <w:bCs/>
          <w:kern w:val="2"/>
          <w:sz w:val="21"/>
          <w:szCs w:val="21"/>
        </w:rPr>
        <w:t>及其所有参与本项目的项目经理、驻场及维保工程师，应当严格遵守《中华人民共和国网络安全法》《中华人民共和国个人信息保护法》及医院内部信息安全、数据保密管理相关制度，对在维保实施、巡检、故障处置过程中接触到的医院网络拓扑、硬件资产信息、业务系统配置、医疗业务数据、患者隐私信息、账号口令、内部文档资料等全部信息承担永久保密责任，不因本服务合同终止而失效。</w:t>
      </w:r>
    </w:p>
    <w:p w14:paraId="5B19C179">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06C30"/>
    <w:multiLevelType w:val="singleLevel"/>
    <w:tmpl w:val="CC606C30"/>
    <w:lvl w:ilvl="0" w:tentative="0">
      <w:start w:val="1"/>
      <w:numFmt w:val="chineseCounting"/>
      <w:suff w:val="nothing"/>
      <w:lvlText w:val="（%1）"/>
      <w:lvlJc w:val="left"/>
      <w:pPr>
        <w:ind w:left="0" w:firstLine="420"/>
      </w:pPr>
      <w:rPr>
        <w:rFonts w:hint="eastAsia"/>
      </w:rPr>
    </w:lvl>
  </w:abstractNum>
  <w:abstractNum w:abstractNumId="1">
    <w:nsid w:val="1326B90D"/>
    <w:multiLevelType w:val="singleLevel"/>
    <w:tmpl w:val="1326B90D"/>
    <w:lvl w:ilvl="0" w:tentative="0">
      <w:start w:val="1"/>
      <w:numFmt w:val="decimal"/>
      <w:lvlText w:val="%1."/>
      <w:lvlJc w:val="left"/>
      <w:pPr>
        <w:tabs>
          <w:tab w:val="left" w:pos="312"/>
        </w:tabs>
      </w:pPr>
    </w:lvl>
  </w:abstractNum>
  <w:abstractNum w:abstractNumId="2">
    <w:nsid w:val="1764DC1F"/>
    <w:multiLevelType w:val="singleLevel"/>
    <w:tmpl w:val="1764DC1F"/>
    <w:lvl w:ilvl="0" w:tentative="0">
      <w:start w:val="1"/>
      <w:numFmt w:val="chineseCounting"/>
      <w:suff w:val="nothing"/>
      <w:lvlText w:val="（%1）"/>
      <w:lvlJc w:val="left"/>
      <w:pPr>
        <w:ind w:left="0" w:firstLine="420"/>
      </w:pPr>
      <w:rPr>
        <w:rFonts w:hint="eastAsia"/>
      </w:rPr>
    </w:lvl>
  </w:abstractNum>
  <w:abstractNum w:abstractNumId="3">
    <w:nsid w:val="33CA2D9D"/>
    <w:multiLevelType w:val="singleLevel"/>
    <w:tmpl w:val="33CA2D9D"/>
    <w:lvl w:ilvl="0" w:tentative="0">
      <w:start w:val="8"/>
      <w:numFmt w:val="chineseCounting"/>
      <w:suff w:val="nothing"/>
      <w:lvlText w:val="%1、"/>
      <w:lvlJc w:val="left"/>
      <w:rPr>
        <w:rFonts w:hint="eastAsia"/>
      </w:rPr>
    </w:lvl>
  </w:abstractNum>
  <w:abstractNum w:abstractNumId="4">
    <w:nsid w:val="5CD1D514"/>
    <w:multiLevelType w:val="singleLevel"/>
    <w:tmpl w:val="5CD1D514"/>
    <w:lvl w:ilvl="0" w:tentative="0">
      <w:start w:val="1"/>
      <w:numFmt w:val="chineseCounting"/>
      <w:suff w:val="nothing"/>
      <w:lvlText w:val="（%1）"/>
      <w:lvlJc w:val="left"/>
      <w:pPr>
        <w:ind w:left="0" w:firstLine="420"/>
      </w:pPr>
      <w:rPr>
        <w:rFonts w:hint="eastAsia"/>
      </w:rPr>
    </w:lvl>
  </w:abstractNum>
  <w:abstractNum w:abstractNumId="5">
    <w:nsid w:val="62612DC4"/>
    <w:multiLevelType w:val="singleLevel"/>
    <w:tmpl w:val="62612DC4"/>
    <w:lvl w:ilvl="0" w:tentative="0">
      <w:start w:val="7"/>
      <w:numFmt w:val="chineseCounting"/>
      <w:suff w:val="nothing"/>
      <w:lvlText w:val="%1、"/>
      <w:lvlJc w:val="left"/>
      <w:rPr>
        <w:rFonts w:hint="eastAsia"/>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FC1"/>
    <w:rsid w:val="000711E5"/>
    <w:rsid w:val="00095FC1"/>
    <w:rsid w:val="00236C99"/>
    <w:rsid w:val="002D4D1F"/>
    <w:rsid w:val="002E3C3B"/>
    <w:rsid w:val="003D143C"/>
    <w:rsid w:val="006743F6"/>
    <w:rsid w:val="006E395A"/>
    <w:rsid w:val="008937B1"/>
    <w:rsid w:val="00BC6331"/>
    <w:rsid w:val="00DE50DD"/>
    <w:rsid w:val="00E13C6A"/>
    <w:rsid w:val="3AC727C9"/>
    <w:rsid w:val="3F7B1DD4"/>
    <w:rsid w:val="46C529FC"/>
    <w:rsid w:val="4989333F"/>
    <w:rsid w:val="53965205"/>
    <w:rsid w:val="5A18264A"/>
    <w:rsid w:val="5BB00D5C"/>
    <w:rsid w:val="60885452"/>
    <w:rsid w:val="60CA1B49"/>
    <w:rsid w:val="626823A4"/>
    <w:rsid w:val="62FE4D7A"/>
    <w:rsid w:val="767750F3"/>
    <w:rsid w:val="772C16F3"/>
    <w:rsid w:val="78D15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1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qFormat/>
    <w:uiPriority w:val="99"/>
    <w:rPr>
      <w:sz w:val="18"/>
      <w:szCs w:val="18"/>
    </w:rPr>
  </w:style>
  <w:style w:type="character" w:customStyle="1" w:styleId="11">
    <w:name w:val="标题 3 字符"/>
    <w:basedOn w:val="8"/>
    <w:link w:val="2"/>
    <w:qFormat/>
    <w:uiPriority w:val="0"/>
    <w:rPr>
      <w:rFonts w:ascii="Calibri" w:hAnsi="Calibri" w:eastAsia="宋体" w:cs="Times New Roman"/>
      <w:b/>
      <w:bCs/>
      <w:sz w:val="32"/>
      <w:szCs w:val="32"/>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2238</Words>
  <Characters>2379</Characters>
  <Lines>60</Lines>
  <Paragraphs>17</Paragraphs>
  <TotalTime>45</TotalTime>
  <ScaleCrop>false</ScaleCrop>
  <LinksUpToDate>false</LinksUpToDate>
  <CharactersWithSpaces>2421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2026-09-15T02:30:00Z</dcterms:created>
  <dc:creator>1112321564</dc:creator>
  <cp:lastModifiedBy>张娟</cp:lastModifiedBy>
  <dcterms:modified xsi:type="dcterms:W3CDTF">2026-09-17T01:25:59Z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eyJoZGlkIjoiNWY2YjI5NmM4NjcyZTgwOGJhOGNiODM4NTg0ZjVhNTAiLCJ1c2VySWQiOiIxNjE2NzM1NzA0In0=</vt:lpwstr>
  </property>
  <property fmtid="{D5CDD505-2E9C-101B-9397-08002B2CF9AE}" pid="3" name="KSOProductBuildVer">
    <vt:lpwstr>2052-12.1.0.28043</vt:lpwstr>
  </property>
  <property fmtid="{D5CDD505-2E9C-101B-9397-08002B2CF9AE}" pid="4" name="ICV">
    <vt:lpwstr>8938718988DE47249CBA6801FBE2F2EA_12</vt:lpwstr>
  </property>
</Properties>
</file>