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49463A">
      <w:pPr>
        <w:widowControl/>
        <w:spacing w:line="360" w:lineRule="auto"/>
        <w:jc w:val="center"/>
        <w:outlineLvl w:val="1"/>
        <w:rPr>
          <w:rFonts w:ascii="宋体" w:hAnsi="宋体" w:cs="宋体" w:eastAsiaTheme="minorEastAsia"/>
          <w:b/>
          <w:bCs w:val="0"/>
          <w:color w:val="000000"/>
          <w:sz w:val="24"/>
          <w:szCs w:val="24"/>
        </w:rPr>
      </w:pPr>
      <w:r>
        <w:rPr>
          <w:rFonts w:hint="eastAsia" w:asciiTheme="minorEastAsia" w:hAnsiTheme="minorEastAsia" w:eastAsiaTheme="minorEastAsia"/>
          <w:b/>
          <w:bCs w:val="0"/>
          <w:sz w:val="24"/>
          <w:szCs w:val="24"/>
        </w:rPr>
        <w:t>渝中院区外网出口和裸光纤及江南院区物联网专线租用服务推介会要求</w:t>
      </w:r>
    </w:p>
    <w:p w14:paraId="4883A7B4">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一、基本情况</w:t>
      </w:r>
    </w:p>
    <w:p w14:paraId="7E747B99">
      <w:pPr>
        <w:widowControl/>
        <w:numPr>
          <w:ilvl w:val="0"/>
          <w:numId w:val="1"/>
        </w:numPr>
        <w:spacing w:line="360" w:lineRule="auto"/>
        <w:outlineLvl w:val="1"/>
        <w:rPr>
          <w:rFonts w:ascii="宋体" w:hAnsi="宋体" w:cs="宋体"/>
          <w:b/>
          <w:bCs/>
          <w:color w:val="000000"/>
          <w:szCs w:val="21"/>
        </w:rPr>
      </w:pPr>
      <w:r>
        <w:rPr>
          <w:rFonts w:hint="eastAsia" w:ascii="宋体" w:hAnsi="宋体" w:cs="宋体"/>
          <w:b/>
          <w:bCs/>
          <w:color w:val="000000"/>
          <w:szCs w:val="21"/>
        </w:rPr>
        <w:t>项目名称</w:t>
      </w:r>
    </w:p>
    <w:p w14:paraId="2437A690">
      <w:pPr>
        <w:widowControl/>
        <w:spacing w:line="360" w:lineRule="auto"/>
        <w:ind w:firstLine="420" w:firstLineChars="200"/>
        <w:outlineLvl w:val="1"/>
        <w:rPr>
          <w:rFonts w:ascii="宋体" w:hAnsi="宋体" w:cs="宋体"/>
          <w:bCs/>
          <w:color w:val="000000"/>
          <w:szCs w:val="21"/>
        </w:rPr>
      </w:pPr>
      <w:r>
        <w:rPr>
          <w:rFonts w:hint="eastAsia" w:asciiTheme="minorEastAsia" w:hAnsiTheme="minorEastAsia" w:eastAsiaTheme="minorEastAsia"/>
          <w:bCs/>
          <w:szCs w:val="21"/>
        </w:rPr>
        <w:t>渝中院区外网出口和裸光纤及江南院区物联网专线租用服务</w:t>
      </w:r>
    </w:p>
    <w:p w14:paraId="48B5514C">
      <w:pPr>
        <w:widowControl/>
        <w:numPr>
          <w:ilvl w:val="0"/>
          <w:numId w:val="1"/>
        </w:numPr>
        <w:spacing w:line="360" w:lineRule="auto"/>
        <w:outlineLvl w:val="1"/>
        <w:rPr>
          <w:rFonts w:ascii="宋体" w:hAnsi="宋体" w:cs="宋体"/>
          <w:b/>
          <w:bCs/>
          <w:color w:val="000000"/>
          <w:szCs w:val="21"/>
        </w:rPr>
      </w:pPr>
      <w:r>
        <w:rPr>
          <w:rFonts w:hint="eastAsia" w:ascii="宋体" w:hAnsi="宋体" w:cs="宋体"/>
          <w:b/>
          <w:bCs/>
          <w:color w:val="000000"/>
          <w:szCs w:val="21"/>
        </w:rPr>
        <w:t>现状</w:t>
      </w:r>
    </w:p>
    <w:p w14:paraId="0EE1CCA6">
      <w:pPr>
        <w:widowControl/>
        <w:numPr>
          <w:ilvl w:val="0"/>
          <w:numId w:val="0"/>
        </w:numPr>
        <w:spacing w:line="360" w:lineRule="auto"/>
        <w:ind w:left="420" w:leftChars="0"/>
        <w:outlineLvl w:val="1"/>
        <w:rPr>
          <w:rFonts w:hint="default" w:ascii="宋体" w:hAnsi="宋体" w:eastAsia="宋体" w:cs="宋体"/>
          <w:b/>
          <w:bCs/>
          <w:color w:val="000000"/>
          <w:szCs w:val="21"/>
          <w:lang w:val="en-US" w:eastAsia="zh-CN"/>
        </w:rPr>
      </w:pPr>
      <w:r>
        <w:rPr>
          <w:rFonts w:hint="eastAsia" w:ascii="宋体" w:hAnsi="宋体" w:cs="宋体"/>
          <w:b w:val="0"/>
          <w:bCs w:val="0"/>
          <w:color w:val="000000"/>
          <w:szCs w:val="21"/>
          <w:lang w:val="en-US" w:eastAsia="zh-CN"/>
        </w:rPr>
        <w:t>现场勘查。</w:t>
      </w:r>
    </w:p>
    <w:p w14:paraId="6E6432A2">
      <w:pPr>
        <w:widowControl/>
        <w:numPr>
          <w:ilvl w:val="0"/>
          <w:numId w:val="1"/>
        </w:numPr>
        <w:spacing w:line="360" w:lineRule="auto"/>
        <w:outlineLvl w:val="1"/>
        <w:rPr>
          <w:rFonts w:ascii="宋体" w:hAnsi="宋体" w:cs="宋体"/>
          <w:b/>
          <w:bCs/>
          <w:color w:val="000000"/>
          <w:szCs w:val="21"/>
        </w:rPr>
      </w:pPr>
      <w:r>
        <w:rPr>
          <w:rFonts w:hint="eastAsia" w:ascii="宋体" w:hAnsi="宋体" w:cs="宋体"/>
          <w:b/>
          <w:bCs/>
          <w:color w:val="000000"/>
          <w:szCs w:val="21"/>
        </w:rPr>
        <w:t>项目需求</w:t>
      </w:r>
      <w:bookmarkStart w:id="2" w:name="_GoBack"/>
      <w:bookmarkEnd w:id="2"/>
    </w:p>
    <w:p w14:paraId="6675D776">
      <w:pPr>
        <w:spacing w:line="360" w:lineRule="auto"/>
        <w:ind w:firstLine="420" w:firstLineChars="200"/>
        <w:rPr>
          <w:rFonts w:ascii="宋体" w:hAnsi="宋体"/>
          <w:szCs w:val="21"/>
        </w:rPr>
      </w:pPr>
      <w:r>
        <w:t xml:space="preserve">1.  </w:t>
      </w:r>
      <w:r>
        <w:rPr>
          <w:rFonts w:hint="eastAsia"/>
        </w:rPr>
        <w:t>租用跨院区通信链路（主线：物理裸光纤两芯；备线一：</w:t>
      </w:r>
      <w:r>
        <w:rPr>
          <w:rFonts w:hint="eastAsia" w:ascii="宋体" w:hAnsi="宋体"/>
          <w:szCs w:val="21"/>
        </w:rPr>
        <w:t>上限带宽为6</w:t>
      </w:r>
      <w:r>
        <w:rPr>
          <w:rFonts w:ascii="宋体" w:hAnsi="宋体"/>
          <w:szCs w:val="21"/>
        </w:rPr>
        <w:t>G</w:t>
      </w:r>
      <w:r>
        <w:rPr>
          <w:rFonts w:hint="eastAsia" w:ascii="宋体" w:hAnsi="宋体"/>
          <w:szCs w:val="21"/>
        </w:rPr>
        <w:t>的点对点两芯专线；备线二：点对点带宽1</w:t>
      </w:r>
      <w:r>
        <w:rPr>
          <w:rFonts w:ascii="宋体" w:hAnsi="宋体"/>
          <w:szCs w:val="21"/>
        </w:rPr>
        <w:t>G</w:t>
      </w:r>
      <w:r>
        <w:rPr>
          <w:rFonts w:hint="eastAsia" w:ascii="宋体" w:hAnsi="宋体"/>
          <w:szCs w:val="21"/>
        </w:rPr>
        <w:t>两芯专线）；</w:t>
      </w:r>
    </w:p>
    <w:p w14:paraId="03948CD9">
      <w:pPr>
        <w:spacing w:line="360" w:lineRule="auto"/>
        <w:ind w:firstLine="420" w:firstLineChars="200"/>
        <w:rPr>
          <w:rFonts w:ascii="宋体" w:hAnsi="宋体"/>
          <w:szCs w:val="21"/>
        </w:rPr>
      </w:pPr>
      <w:r>
        <w:rPr>
          <w:rFonts w:ascii="宋体" w:hAnsi="宋体"/>
          <w:szCs w:val="21"/>
        </w:rPr>
        <w:t>2.</w:t>
      </w:r>
      <w:r>
        <w:rPr>
          <w:rFonts w:hint="eastAsia" w:ascii="宋体" w:hAnsi="宋体"/>
          <w:szCs w:val="21"/>
        </w:rPr>
        <w:t xml:space="preserve"> 租用一条渝中院区到卫健委的点对点卫生专线，带宽3</w:t>
      </w:r>
      <w:r>
        <w:rPr>
          <w:rFonts w:ascii="宋体" w:hAnsi="宋体"/>
          <w:szCs w:val="21"/>
        </w:rPr>
        <w:t>00M</w:t>
      </w:r>
      <w:r>
        <w:rPr>
          <w:rFonts w:hint="eastAsia" w:ascii="宋体" w:hAnsi="宋体"/>
          <w:szCs w:val="21"/>
        </w:rPr>
        <w:t>；</w:t>
      </w:r>
    </w:p>
    <w:p w14:paraId="0FF9056B">
      <w:pPr>
        <w:spacing w:line="360" w:lineRule="auto"/>
        <w:ind w:firstLine="420" w:firstLineChars="200"/>
        <w:rPr>
          <w:rFonts w:ascii="宋体" w:hAnsi="宋体"/>
          <w:szCs w:val="21"/>
        </w:rPr>
      </w:pPr>
      <w:r>
        <w:rPr>
          <w:rFonts w:hint="eastAsia" w:ascii="宋体" w:hAnsi="宋体"/>
          <w:szCs w:val="21"/>
        </w:rPr>
        <w:t>3</w:t>
      </w:r>
      <w:r>
        <w:rPr>
          <w:rFonts w:ascii="宋体" w:hAnsi="宋体"/>
          <w:szCs w:val="21"/>
        </w:rPr>
        <w:t xml:space="preserve">. </w:t>
      </w:r>
      <w:r>
        <w:rPr>
          <w:rFonts w:hint="eastAsia" w:ascii="宋体" w:hAnsi="宋体"/>
          <w:szCs w:val="21"/>
        </w:rPr>
        <w:t>租用一条渝中院区上下行对称互联网专线出口，带宽1</w:t>
      </w:r>
      <w:r>
        <w:rPr>
          <w:rFonts w:ascii="宋体" w:hAnsi="宋体"/>
          <w:szCs w:val="21"/>
        </w:rPr>
        <w:t>G</w:t>
      </w:r>
      <w:r>
        <w:rPr>
          <w:rFonts w:hint="eastAsia" w:ascii="宋体" w:hAnsi="宋体"/>
          <w:szCs w:val="21"/>
        </w:rPr>
        <w:t>，包含1</w:t>
      </w:r>
      <w:r>
        <w:rPr>
          <w:rFonts w:ascii="宋体" w:hAnsi="宋体"/>
          <w:szCs w:val="21"/>
        </w:rPr>
        <w:t>1</w:t>
      </w:r>
      <w:r>
        <w:rPr>
          <w:rFonts w:hint="eastAsia" w:ascii="宋体" w:hAnsi="宋体"/>
          <w:szCs w:val="21"/>
        </w:rPr>
        <w:t>个公网地址；</w:t>
      </w:r>
    </w:p>
    <w:p w14:paraId="48863722">
      <w:pPr>
        <w:spacing w:line="360" w:lineRule="auto"/>
        <w:ind w:firstLine="420" w:firstLineChars="200"/>
        <w:rPr>
          <w:rFonts w:ascii="宋体" w:hAnsi="宋体"/>
          <w:szCs w:val="21"/>
        </w:rPr>
      </w:pPr>
      <w:r>
        <w:rPr>
          <w:rFonts w:hint="eastAsia" w:ascii="宋体" w:hAnsi="宋体"/>
          <w:szCs w:val="21"/>
        </w:rPr>
        <w:t>4</w:t>
      </w:r>
      <w:r>
        <w:rPr>
          <w:rFonts w:ascii="宋体" w:hAnsi="宋体"/>
          <w:szCs w:val="21"/>
        </w:rPr>
        <w:t xml:space="preserve">. </w:t>
      </w:r>
      <w:r>
        <w:rPr>
          <w:rFonts w:hint="eastAsia" w:ascii="宋体" w:hAnsi="宋体"/>
          <w:szCs w:val="21"/>
        </w:rPr>
        <w:t>渝中院区</w:t>
      </w:r>
      <w:r>
        <w:rPr>
          <w:rFonts w:hint="eastAsia"/>
        </w:rPr>
        <w:t>新增4条互联网出口，上行带宽不低于30M，下行带宽不低于2G，可动态地址，4条出口分别独立部署；</w:t>
      </w:r>
    </w:p>
    <w:p w14:paraId="3475EEF8">
      <w:pPr>
        <w:spacing w:line="360" w:lineRule="auto"/>
        <w:ind w:firstLine="420" w:firstLineChars="200"/>
        <w:rPr>
          <w:rFonts w:ascii="宋体" w:hAnsi="宋体"/>
          <w:szCs w:val="21"/>
        </w:rPr>
      </w:pPr>
      <w:r>
        <w:rPr>
          <w:rFonts w:ascii="宋体" w:hAnsi="宋体"/>
          <w:szCs w:val="21"/>
        </w:rPr>
        <w:t xml:space="preserve">5. </w:t>
      </w:r>
      <w:r>
        <w:rPr>
          <w:rFonts w:hint="eastAsia" w:ascii="宋体" w:hAnsi="宋体"/>
          <w:szCs w:val="21"/>
        </w:rPr>
        <w:t>渝中院区租用一条异网（与项目需求中第3点不同运营商）上下行对称互联网专线出口，带宽1</w:t>
      </w:r>
      <w:r>
        <w:rPr>
          <w:rFonts w:ascii="宋体" w:hAnsi="宋体"/>
          <w:szCs w:val="21"/>
        </w:rPr>
        <w:t>G</w:t>
      </w:r>
      <w:r>
        <w:rPr>
          <w:rFonts w:hint="eastAsia" w:ascii="宋体" w:hAnsi="宋体"/>
          <w:szCs w:val="21"/>
        </w:rPr>
        <w:t>，包含</w:t>
      </w:r>
      <w:r>
        <w:rPr>
          <w:rFonts w:ascii="宋体" w:hAnsi="宋体"/>
          <w:szCs w:val="21"/>
        </w:rPr>
        <w:t>6</w:t>
      </w:r>
      <w:r>
        <w:rPr>
          <w:rFonts w:hint="eastAsia" w:ascii="宋体" w:hAnsi="宋体"/>
          <w:szCs w:val="21"/>
        </w:rPr>
        <w:t>个公网地址；</w:t>
      </w:r>
    </w:p>
    <w:p w14:paraId="48BA2976">
      <w:pPr>
        <w:spacing w:line="360" w:lineRule="auto"/>
        <w:ind w:firstLine="420" w:firstLineChars="200"/>
      </w:pPr>
      <w:r>
        <w:rPr>
          <w:rFonts w:ascii="宋体" w:hAnsi="宋体"/>
          <w:szCs w:val="21"/>
        </w:rPr>
        <w:t xml:space="preserve">6. </w:t>
      </w:r>
      <w:r>
        <w:rPr>
          <w:rFonts w:hint="eastAsia" w:ascii="宋体" w:hAnsi="宋体"/>
          <w:szCs w:val="21"/>
        </w:rPr>
        <w:t>提供一条上下行5</w:t>
      </w:r>
      <w:r>
        <w:rPr>
          <w:rFonts w:ascii="宋体" w:hAnsi="宋体"/>
          <w:szCs w:val="21"/>
        </w:rPr>
        <w:t>0M</w:t>
      </w:r>
      <w:r>
        <w:rPr>
          <w:rFonts w:hint="eastAsia" w:ascii="宋体" w:hAnsi="宋体"/>
          <w:szCs w:val="21"/>
        </w:rPr>
        <w:t>对称物联网专线，根据我院实际需求提供配套的4</w:t>
      </w:r>
      <w:r>
        <w:rPr>
          <w:rFonts w:ascii="宋体" w:hAnsi="宋体"/>
          <w:szCs w:val="21"/>
        </w:rPr>
        <w:t>G</w:t>
      </w:r>
      <w:r>
        <w:rPr>
          <w:rFonts w:hint="eastAsia" w:ascii="宋体" w:hAnsi="宋体"/>
          <w:szCs w:val="21"/>
        </w:rPr>
        <w:t>物联网卡，单卡数据流量包每月不低于2</w:t>
      </w:r>
      <w:r>
        <w:rPr>
          <w:rFonts w:ascii="宋体" w:hAnsi="宋体"/>
          <w:szCs w:val="21"/>
        </w:rPr>
        <w:t>G</w:t>
      </w:r>
      <w:r>
        <w:rPr>
          <w:rFonts w:hint="eastAsia" w:ascii="宋体" w:hAnsi="宋体"/>
          <w:szCs w:val="21"/>
        </w:rPr>
        <w:t>。</w:t>
      </w:r>
    </w:p>
    <w:p w14:paraId="6726411D">
      <w:pPr>
        <w:tabs>
          <w:tab w:val="left" w:pos="-420"/>
        </w:tabs>
        <w:spacing w:line="360" w:lineRule="auto"/>
        <w:rPr>
          <w:rFonts w:ascii="宋体" w:hAnsi="宋体"/>
          <w:szCs w:val="21"/>
        </w:rPr>
      </w:pPr>
    </w:p>
    <w:p w14:paraId="12EAFB23">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二、资格要求</w:t>
      </w:r>
    </w:p>
    <w:p w14:paraId="6FC162C3">
      <w:pPr>
        <w:widowControl/>
        <w:numPr>
          <w:ilvl w:val="0"/>
          <w:numId w:val="2"/>
        </w:numPr>
        <w:spacing w:line="360" w:lineRule="auto"/>
        <w:outlineLvl w:val="1"/>
        <w:rPr>
          <w:rFonts w:ascii="宋体" w:hAnsi="宋体" w:cs="宋体"/>
          <w:b/>
          <w:bCs/>
          <w:color w:val="000000"/>
          <w:szCs w:val="21"/>
        </w:rPr>
      </w:pPr>
      <w:r>
        <w:rPr>
          <w:rFonts w:hint="eastAsia" w:ascii="宋体" w:hAnsi="宋体" w:cs="宋体"/>
          <w:b/>
          <w:bCs/>
          <w:color w:val="000000"/>
          <w:szCs w:val="21"/>
        </w:rPr>
        <w:t>基本资格条件</w:t>
      </w:r>
    </w:p>
    <w:p w14:paraId="487D8A65">
      <w:pPr>
        <w:tabs>
          <w:tab w:val="left" w:pos="-420"/>
        </w:tabs>
        <w:spacing w:line="360" w:lineRule="auto"/>
        <w:ind w:firstLine="420" w:firstLineChars="200"/>
        <w:rPr>
          <w:rFonts w:ascii="宋体" w:hAnsi="宋体"/>
          <w:szCs w:val="21"/>
        </w:rPr>
      </w:pPr>
      <w:r>
        <w:rPr>
          <w:rFonts w:hint="eastAsia" w:ascii="宋体" w:hAnsi="宋体"/>
          <w:szCs w:val="21"/>
        </w:rPr>
        <w:t>1</w:t>
      </w:r>
      <w:r>
        <w:rPr>
          <w:rFonts w:ascii="宋体" w:hAnsi="宋体"/>
          <w:szCs w:val="21"/>
        </w:rPr>
        <w:t>.</w:t>
      </w:r>
      <w:r>
        <w:rPr>
          <w:rFonts w:hint="eastAsia" w:ascii="宋体" w:hAnsi="宋体"/>
          <w:szCs w:val="21"/>
        </w:rPr>
        <w:t>具有独立承担民事责任的能力；</w:t>
      </w:r>
    </w:p>
    <w:p w14:paraId="12B11D8F">
      <w:pPr>
        <w:tabs>
          <w:tab w:val="left" w:pos="-420"/>
        </w:tabs>
        <w:spacing w:line="360" w:lineRule="auto"/>
        <w:ind w:firstLine="420" w:firstLineChars="200"/>
        <w:rPr>
          <w:rFonts w:ascii="宋体" w:hAnsi="宋体"/>
          <w:szCs w:val="21"/>
        </w:rPr>
      </w:pPr>
      <w:r>
        <w:rPr>
          <w:rFonts w:hint="eastAsia" w:ascii="宋体" w:hAnsi="宋体"/>
          <w:szCs w:val="21"/>
        </w:rPr>
        <w:t>2</w:t>
      </w:r>
      <w:r>
        <w:rPr>
          <w:rFonts w:ascii="宋体" w:hAnsi="宋体"/>
          <w:szCs w:val="21"/>
        </w:rPr>
        <w:t>.</w:t>
      </w:r>
      <w:r>
        <w:rPr>
          <w:rFonts w:hint="eastAsia" w:ascii="宋体" w:hAnsi="宋体"/>
          <w:szCs w:val="21"/>
        </w:rPr>
        <w:t>具有良好的商业信誉和健全的财务会计制度；</w:t>
      </w:r>
    </w:p>
    <w:p w14:paraId="7205AAEE">
      <w:pPr>
        <w:tabs>
          <w:tab w:val="left" w:pos="-420"/>
        </w:tabs>
        <w:spacing w:line="360" w:lineRule="auto"/>
        <w:ind w:firstLine="420" w:firstLineChars="200"/>
        <w:rPr>
          <w:rFonts w:ascii="宋体" w:hAnsi="宋体"/>
          <w:szCs w:val="21"/>
        </w:rPr>
      </w:pPr>
      <w:r>
        <w:rPr>
          <w:rFonts w:hint="eastAsia" w:ascii="宋体" w:hAnsi="宋体"/>
          <w:szCs w:val="21"/>
        </w:rPr>
        <w:t>3</w:t>
      </w:r>
      <w:r>
        <w:rPr>
          <w:rFonts w:ascii="宋体" w:hAnsi="宋体"/>
          <w:szCs w:val="21"/>
        </w:rPr>
        <w:t>.</w:t>
      </w:r>
      <w:r>
        <w:rPr>
          <w:rFonts w:hint="eastAsia" w:ascii="宋体" w:hAnsi="宋体"/>
          <w:szCs w:val="21"/>
        </w:rPr>
        <w:t>具有履行合同所必需的能力；</w:t>
      </w:r>
    </w:p>
    <w:p w14:paraId="774A9D48">
      <w:pPr>
        <w:tabs>
          <w:tab w:val="left" w:pos="-420"/>
        </w:tabs>
        <w:spacing w:line="360" w:lineRule="auto"/>
        <w:ind w:firstLine="420" w:firstLineChars="200"/>
        <w:rPr>
          <w:rFonts w:ascii="宋体" w:hAnsi="宋体"/>
          <w:szCs w:val="21"/>
        </w:rPr>
      </w:pPr>
      <w:r>
        <w:rPr>
          <w:rFonts w:hint="eastAsia" w:ascii="宋体" w:hAnsi="宋体"/>
          <w:szCs w:val="21"/>
        </w:rPr>
        <w:t>4</w:t>
      </w:r>
      <w:r>
        <w:rPr>
          <w:rFonts w:ascii="宋体" w:hAnsi="宋体"/>
          <w:szCs w:val="21"/>
        </w:rPr>
        <w:t>.</w:t>
      </w:r>
      <w:r>
        <w:rPr>
          <w:rFonts w:hint="eastAsia" w:ascii="宋体" w:hAnsi="宋体"/>
          <w:szCs w:val="21"/>
        </w:rPr>
        <w:t>有依法缴纳税收和社会保障资金的良好记录；</w:t>
      </w:r>
    </w:p>
    <w:p w14:paraId="1B40A239">
      <w:pPr>
        <w:tabs>
          <w:tab w:val="left" w:pos="-420"/>
        </w:tabs>
        <w:spacing w:line="360" w:lineRule="auto"/>
        <w:ind w:firstLine="420" w:firstLineChars="200"/>
        <w:rPr>
          <w:rFonts w:ascii="宋体" w:hAnsi="宋体"/>
          <w:szCs w:val="21"/>
        </w:rPr>
      </w:pPr>
      <w:r>
        <w:rPr>
          <w:rFonts w:hint="eastAsia" w:ascii="宋体" w:hAnsi="宋体"/>
          <w:szCs w:val="21"/>
        </w:rPr>
        <w:t>5</w:t>
      </w:r>
      <w:r>
        <w:rPr>
          <w:rFonts w:ascii="宋体" w:hAnsi="宋体"/>
          <w:szCs w:val="21"/>
        </w:rPr>
        <w:t>.</w:t>
      </w:r>
      <w:r>
        <w:rPr>
          <w:rFonts w:hint="eastAsia" w:ascii="宋体" w:hAnsi="宋体"/>
          <w:szCs w:val="21"/>
        </w:rPr>
        <w:t>参加政府采购活动前三年内，在经营活动中没有重大违法记录；</w:t>
      </w:r>
    </w:p>
    <w:p w14:paraId="2288CFED">
      <w:pPr>
        <w:tabs>
          <w:tab w:val="left" w:pos="-420"/>
        </w:tabs>
        <w:spacing w:line="360" w:lineRule="auto"/>
        <w:ind w:firstLine="420" w:firstLineChars="200"/>
        <w:rPr>
          <w:rFonts w:ascii="宋体" w:hAnsi="宋体"/>
          <w:szCs w:val="21"/>
        </w:rPr>
      </w:pPr>
      <w:r>
        <w:rPr>
          <w:rFonts w:hint="eastAsia" w:ascii="宋体" w:hAnsi="宋体"/>
          <w:szCs w:val="21"/>
        </w:rPr>
        <w:t>6</w:t>
      </w:r>
      <w:r>
        <w:rPr>
          <w:rFonts w:ascii="宋体" w:hAnsi="宋体"/>
          <w:szCs w:val="21"/>
        </w:rPr>
        <w:t>.</w:t>
      </w:r>
      <w:r>
        <w:rPr>
          <w:rFonts w:hint="eastAsia" w:ascii="宋体" w:hAnsi="宋体"/>
          <w:szCs w:val="21"/>
        </w:rPr>
        <w:t>法律、行政法规规定的其他条件。</w:t>
      </w:r>
    </w:p>
    <w:p w14:paraId="52C08E9A">
      <w:pPr>
        <w:widowControl/>
        <w:numPr>
          <w:ilvl w:val="0"/>
          <w:numId w:val="2"/>
        </w:numPr>
        <w:spacing w:line="360" w:lineRule="auto"/>
        <w:outlineLvl w:val="1"/>
        <w:rPr>
          <w:rFonts w:ascii="宋体" w:hAnsi="宋体" w:cs="宋体"/>
          <w:b/>
          <w:bCs/>
          <w:color w:val="000000"/>
          <w:szCs w:val="21"/>
        </w:rPr>
      </w:pPr>
      <w:r>
        <w:rPr>
          <w:rFonts w:hint="eastAsia" w:ascii="宋体" w:hAnsi="宋体" w:cs="宋体"/>
          <w:b/>
          <w:bCs/>
          <w:color w:val="000000"/>
          <w:szCs w:val="21"/>
        </w:rPr>
        <w:t>特定资格条件</w:t>
      </w:r>
      <w:bookmarkStart w:id="0" w:name="_Toc2529"/>
      <w:bookmarkStart w:id="1" w:name="_Toc11973"/>
    </w:p>
    <w:p w14:paraId="510A7423">
      <w:pPr>
        <w:widowControl/>
        <w:spacing w:line="360" w:lineRule="auto"/>
        <w:rPr>
          <w:rFonts w:ascii="宋体" w:hAnsi="宋体" w:cs="宋体"/>
          <w:szCs w:val="21"/>
        </w:rPr>
      </w:pPr>
      <w:r>
        <w:rPr>
          <w:rFonts w:hint="eastAsia" w:ascii="宋体" w:hAnsi="宋体" w:cs="宋体"/>
          <w:szCs w:val="21"/>
        </w:rPr>
        <w:t xml:space="preserve"> </w:t>
      </w:r>
      <w:r>
        <w:rPr>
          <w:rFonts w:ascii="宋体" w:hAnsi="宋体" w:cs="宋体"/>
          <w:szCs w:val="21"/>
        </w:rPr>
        <w:t xml:space="preserve">    </w:t>
      </w:r>
      <w:r>
        <w:rPr>
          <w:rFonts w:hint="eastAsia" w:ascii="宋体" w:hAnsi="宋体" w:cs="宋体"/>
          <w:szCs w:val="21"/>
        </w:rPr>
        <w:t>无。</w:t>
      </w:r>
    </w:p>
    <w:p w14:paraId="04050DAD">
      <w:pPr>
        <w:widowControl/>
        <w:spacing w:line="360" w:lineRule="auto"/>
        <w:rPr>
          <w:rFonts w:ascii="宋体" w:hAnsi="宋体" w:cs="宋体"/>
          <w:szCs w:val="21"/>
        </w:rPr>
      </w:pPr>
    </w:p>
    <w:p w14:paraId="1ED23B75">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三、</w:t>
      </w:r>
      <w:bookmarkEnd w:id="0"/>
      <w:bookmarkEnd w:id="1"/>
      <w:r>
        <w:rPr>
          <w:rFonts w:hint="eastAsia" w:ascii="宋体" w:hAnsi="宋体" w:cs="宋体"/>
          <w:b/>
          <w:bCs/>
          <w:color w:val="000000"/>
          <w:szCs w:val="21"/>
        </w:rPr>
        <w:t>现场勘查</w:t>
      </w:r>
    </w:p>
    <w:p w14:paraId="761BBD66">
      <w:pPr>
        <w:pStyle w:val="4"/>
        <w:spacing w:beforeAutospacing="0" w:afterAutospacing="0" w:line="360" w:lineRule="auto"/>
        <w:ind w:firstLine="420" w:firstLineChars="200"/>
        <w:jc w:val="both"/>
        <w:rPr>
          <w:rFonts w:ascii="宋体" w:hAnsi="宋体" w:cs="宋体"/>
          <w:sz w:val="21"/>
          <w:szCs w:val="21"/>
        </w:rPr>
      </w:pPr>
      <w:r>
        <w:rPr>
          <w:rFonts w:hint="eastAsia" w:ascii="宋体" w:hAnsi="宋体" w:cs="宋体"/>
          <w:sz w:val="21"/>
          <w:szCs w:val="21"/>
        </w:rPr>
        <w:t>勘查时间：响应人可于报名截止之前进行现场勘查。</w:t>
      </w:r>
    </w:p>
    <w:p w14:paraId="3D7C8122">
      <w:pPr>
        <w:pStyle w:val="4"/>
        <w:spacing w:beforeAutospacing="0" w:afterAutospacing="0" w:line="360" w:lineRule="auto"/>
        <w:ind w:firstLine="420" w:firstLineChars="200"/>
        <w:jc w:val="both"/>
        <w:rPr>
          <w:rFonts w:ascii="宋体" w:hAnsi="宋体" w:cs="宋体"/>
          <w:sz w:val="21"/>
          <w:szCs w:val="21"/>
        </w:rPr>
      </w:pPr>
      <w:r>
        <w:rPr>
          <w:rFonts w:hint="eastAsia" w:ascii="宋体" w:hAnsi="宋体" w:cs="宋体"/>
          <w:sz w:val="21"/>
          <w:szCs w:val="21"/>
        </w:rPr>
        <w:t>联系人：  数智中心      骆欢     13452365463</w:t>
      </w:r>
    </w:p>
    <w:p w14:paraId="376C8AB4">
      <w:pPr>
        <w:pStyle w:val="4"/>
        <w:spacing w:beforeAutospacing="0" w:afterAutospacing="0" w:line="360" w:lineRule="auto"/>
        <w:ind w:firstLine="420" w:firstLineChars="200"/>
        <w:jc w:val="both"/>
        <w:rPr>
          <w:rFonts w:ascii="宋体" w:hAnsi="宋体" w:cs="宋体"/>
          <w:sz w:val="21"/>
          <w:szCs w:val="21"/>
        </w:rPr>
      </w:pPr>
      <w:r>
        <w:rPr>
          <w:rFonts w:hint="eastAsia" w:ascii="宋体" w:hAnsi="宋体" w:cs="宋体"/>
          <w:sz w:val="21"/>
          <w:szCs w:val="21"/>
        </w:rPr>
        <w:t>责任须知：响应人是否进行现勘均被视为已充分了解项目情况及需求。</w:t>
      </w:r>
    </w:p>
    <w:p w14:paraId="71B8B2D2">
      <w:pPr>
        <w:pStyle w:val="4"/>
        <w:spacing w:beforeAutospacing="0" w:afterAutospacing="0" w:line="360" w:lineRule="auto"/>
        <w:jc w:val="both"/>
        <w:rPr>
          <w:rFonts w:ascii="宋体" w:hAnsi="宋体" w:cs="宋体"/>
          <w:color w:val="FF0000"/>
          <w:sz w:val="21"/>
          <w:szCs w:val="21"/>
        </w:rPr>
      </w:pPr>
    </w:p>
    <w:p w14:paraId="6D653BA0">
      <w:pPr>
        <w:pStyle w:val="10"/>
        <w:widowControl/>
        <w:numPr>
          <w:ilvl w:val="0"/>
          <w:numId w:val="3"/>
        </w:numPr>
        <w:spacing w:line="360" w:lineRule="auto"/>
        <w:ind w:firstLineChars="0"/>
        <w:outlineLvl w:val="1"/>
        <w:rPr>
          <w:rFonts w:ascii="宋体" w:hAnsi="宋体" w:eastAsia="宋体" w:cs="宋体"/>
          <w:b/>
          <w:bCs/>
          <w:color w:val="000000"/>
          <w:szCs w:val="21"/>
        </w:rPr>
      </w:pPr>
      <w:r>
        <w:rPr>
          <w:rFonts w:hint="eastAsia" w:ascii="宋体" w:hAnsi="宋体" w:eastAsia="宋体" w:cs="宋体"/>
          <w:b/>
          <w:bCs/>
          <w:color w:val="000000"/>
          <w:szCs w:val="21"/>
        </w:rPr>
        <w:t>详细需求</w:t>
      </w:r>
    </w:p>
    <w:p w14:paraId="58C734B4">
      <w:pPr>
        <w:spacing w:line="360" w:lineRule="auto"/>
        <w:ind w:firstLine="420" w:firstLineChars="200"/>
      </w:pPr>
      <w:r>
        <w:rPr>
          <w:rFonts w:hint="eastAsia"/>
          <w:szCs w:val="21"/>
        </w:rPr>
        <w:t>1</w:t>
      </w:r>
      <w:r>
        <w:rPr>
          <w:szCs w:val="21"/>
        </w:rPr>
        <w:t>.</w:t>
      </w:r>
      <w:r>
        <w:rPr>
          <w:rFonts w:hint="eastAsia"/>
          <w:szCs w:val="21"/>
        </w:rPr>
        <w:t>所有线路需根据院方指定地点</w:t>
      </w:r>
      <w:r>
        <w:rPr>
          <w:rFonts w:hint="eastAsia"/>
        </w:rPr>
        <w:t>接入，提供详细的物理路由图纸并标记清楚后移交给我院数值中心；</w:t>
      </w:r>
    </w:p>
    <w:p w14:paraId="28491751">
      <w:pPr>
        <w:spacing w:line="360" w:lineRule="auto"/>
        <w:ind w:firstLine="420" w:firstLineChars="200"/>
        <w:rPr>
          <w:rFonts w:asciiTheme="minorHAnsi" w:hAnsiTheme="minorHAnsi"/>
        </w:rPr>
      </w:pPr>
      <w:r>
        <w:rPr>
          <w:rFonts w:hint="eastAsia" w:ascii="宋体" w:hAnsi="宋体"/>
          <w:szCs w:val="21"/>
        </w:rPr>
        <w:t>2</w:t>
      </w:r>
      <w:r>
        <w:rPr>
          <w:rFonts w:ascii="宋体" w:hAnsi="宋体"/>
          <w:szCs w:val="21"/>
        </w:rPr>
        <w:t>.</w:t>
      </w:r>
      <w:r>
        <w:rPr>
          <w:rFonts w:hint="eastAsia" w:ascii="宋体" w:hAnsi="宋体"/>
          <w:szCs w:val="21"/>
        </w:rPr>
        <w:t>提供详细的网络割接切换方案，业务不得出现中断；</w:t>
      </w:r>
    </w:p>
    <w:p w14:paraId="70F57B31">
      <w:pPr>
        <w:spacing w:line="360" w:lineRule="auto"/>
        <w:ind w:firstLine="420" w:firstLineChars="200"/>
        <w:rPr>
          <w:rFonts w:asciiTheme="minorHAnsi" w:hAnsiTheme="minorHAnsi"/>
        </w:rPr>
      </w:pPr>
      <w:r>
        <w:rPr>
          <w:rFonts w:hint="eastAsia" w:ascii="宋体" w:hAnsi="宋体"/>
          <w:szCs w:val="21"/>
        </w:rPr>
        <w:t>3</w:t>
      </w:r>
      <w:r>
        <w:rPr>
          <w:rFonts w:ascii="宋体" w:hAnsi="宋体"/>
          <w:szCs w:val="21"/>
        </w:rPr>
        <w:t>.</w:t>
      </w:r>
      <w:r>
        <w:rPr>
          <w:rFonts w:hint="eastAsia" w:ascii="宋体" w:hAnsi="宋体"/>
          <w:szCs w:val="21"/>
        </w:rPr>
        <w:t>对外出口的固定I</w:t>
      </w:r>
      <w:r>
        <w:rPr>
          <w:rFonts w:ascii="宋体" w:hAnsi="宋体"/>
          <w:szCs w:val="21"/>
        </w:rPr>
        <w:t>P</w:t>
      </w:r>
      <w:r>
        <w:rPr>
          <w:rFonts w:hint="eastAsia" w:ascii="宋体" w:hAnsi="宋体"/>
          <w:szCs w:val="21"/>
        </w:rPr>
        <w:t>地址需要开通4</w:t>
      </w:r>
      <w:r>
        <w:rPr>
          <w:rFonts w:ascii="宋体" w:hAnsi="宋体"/>
          <w:szCs w:val="21"/>
        </w:rPr>
        <w:t>43</w:t>
      </w:r>
      <w:r>
        <w:rPr>
          <w:rFonts w:hint="eastAsia" w:ascii="宋体" w:hAnsi="宋体"/>
          <w:szCs w:val="21"/>
        </w:rPr>
        <w:t>、8</w:t>
      </w:r>
      <w:r>
        <w:rPr>
          <w:rFonts w:ascii="宋体" w:hAnsi="宋体"/>
          <w:szCs w:val="21"/>
        </w:rPr>
        <w:t>0</w:t>
      </w:r>
      <w:r>
        <w:rPr>
          <w:rFonts w:hint="eastAsia" w:ascii="宋体" w:hAnsi="宋体"/>
          <w:szCs w:val="21"/>
        </w:rPr>
        <w:t>等特殊端口的使用，如需备案由中标人负责协助完成备案工作；</w:t>
      </w:r>
    </w:p>
    <w:p w14:paraId="105D7C6A">
      <w:pPr>
        <w:spacing w:line="360" w:lineRule="auto"/>
        <w:ind w:firstLine="420" w:firstLineChars="200"/>
        <w:rPr>
          <w:rFonts w:hint="eastAsia"/>
        </w:rPr>
      </w:pPr>
      <w:r>
        <w:rPr>
          <w:rFonts w:hint="eastAsia" w:ascii="宋体" w:hAnsi="宋体"/>
          <w:szCs w:val="21"/>
        </w:rPr>
        <w:t>4</w:t>
      </w:r>
      <w:r>
        <w:rPr>
          <w:rFonts w:ascii="宋体" w:hAnsi="宋体"/>
          <w:szCs w:val="21"/>
        </w:rPr>
        <w:t>.</w:t>
      </w:r>
      <w:r>
        <w:rPr>
          <w:rFonts w:hint="eastAsia" w:ascii="宋体" w:hAnsi="宋体"/>
          <w:szCs w:val="21"/>
        </w:rPr>
        <w:t>如需修改我院域名对应的公网I</w:t>
      </w:r>
      <w:r>
        <w:rPr>
          <w:rFonts w:ascii="宋体" w:hAnsi="宋体"/>
          <w:szCs w:val="21"/>
        </w:rPr>
        <w:t>P</w:t>
      </w:r>
      <w:r>
        <w:rPr>
          <w:rFonts w:hint="eastAsia" w:ascii="宋体" w:hAnsi="宋体"/>
          <w:szCs w:val="21"/>
        </w:rPr>
        <w:t>地址，中标人应负责协助完成新的备案；</w:t>
      </w:r>
    </w:p>
    <w:p w14:paraId="0796EEAE">
      <w:pPr>
        <w:spacing w:line="360" w:lineRule="auto"/>
        <w:ind w:firstLine="420"/>
      </w:pPr>
      <w:r>
        <w:t>5.</w:t>
      </w:r>
      <w:r>
        <w:rPr>
          <w:rFonts w:hint="eastAsia"/>
        </w:rPr>
        <w:t xml:space="preserve"> 机房内所有的辅材（光跳线、万兆模块、耦合器、转接头等）成本包含在本次服务内；</w:t>
      </w:r>
    </w:p>
    <w:p w14:paraId="594D242C">
      <w:pPr>
        <w:spacing w:line="360" w:lineRule="auto"/>
        <w:ind w:firstLine="420"/>
      </w:pPr>
      <w:r>
        <w:t>6.</w:t>
      </w:r>
      <w:r>
        <w:rPr>
          <w:rFonts w:hint="eastAsia"/>
        </w:rPr>
        <w:t xml:space="preserve"> 服务期内，提供7×24小时的运维服务，如需现场处置，30分钟内赶到现场处理，如遇链路中断物理故障（需要熔接，改道）应及时通知，并在2小时内恢复；</w:t>
      </w:r>
    </w:p>
    <w:p w14:paraId="7BF9317C">
      <w:pPr>
        <w:spacing w:line="360" w:lineRule="auto"/>
        <w:ind w:firstLine="420"/>
      </w:pPr>
      <w:r>
        <w:t xml:space="preserve">7. </w:t>
      </w:r>
      <w:r>
        <w:rPr>
          <w:rFonts w:hint="eastAsia"/>
        </w:rPr>
        <w:t>技术人员每季度定期巡检，出具电子版盖章巡检报告，发现问题应给出行之有效的解决办法并执行；重大节假日或活动日之前需根据我院要求进行安全巡检；</w:t>
      </w:r>
    </w:p>
    <w:p w14:paraId="3E4E7A1A">
      <w:pPr>
        <w:spacing w:line="360" w:lineRule="auto"/>
        <w:ind w:firstLine="420"/>
      </w:pPr>
      <w:r>
        <w:t xml:space="preserve">8. </w:t>
      </w:r>
      <w:r>
        <w:rPr>
          <w:rFonts w:hint="eastAsia"/>
        </w:rPr>
        <w:t>服务期内遇我院院内改建和调整时，需配合施工，产生的人工，材料费用都由中标人承当，我院不再支付任何费用；</w:t>
      </w:r>
    </w:p>
    <w:p w14:paraId="22D4E613">
      <w:pPr>
        <w:spacing w:line="360" w:lineRule="auto"/>
        <w:ind w:firstLine="420"/>
      </w:pPr>
      <w:r>
        <w:t xml:space="preserve">9. </w:t>
      </w:r>
      <w:r>
        <w:rPr>
          <w:rFonts w:hint="eastAsia"/>
        </w:rPr>
        <w:t>服务期内在接到我院临时提速和增加公网地址的需求时，中标人24小时内进行响应并完成扩容；</w:t>
      </w:r>
    </w:p>
    <w:p w14:paraId="2526C73C">
      <w:pPr>
        <w:spacing w:line="360" w:lineRule="auto"/>
        <w:ind w:firstLine="420"/>
        <w:rPr>
          <w:rFonts w:ascii="宋体" w:hAnsi="宋体"/>
          <w:szCs w:val="21"/>
        </w:rPr>
      </w:pPr>
      <w:r>
        <w:t xml:space="preserve">10. </w:t>
      </w:r>
      <w:r>
        <w:rPr>
          <w:rFonts w:hint="eastAsia"/>
        </w:rPr>
        <w:t>中标人负责</w:t>
      </w:r>
      <w:r>
        <w:rPr>
          <w:rFonts w:hint="eastAsia" w:ascii="宋体" w:hAnsi="宋体"/>
          <w:szCs w:val="21"/>
        </w:rPr>
        <w:t>提供接入设备，并安装调试；</w:t>
      </w:r>
    </w:p>
    <w:p w14:paraId="7778DD99">
      <w:pPr>
        <w:spacing w:line="360" w:lineRule="auto"/>
        <w:ind w:firstLine="420"/>
        <w:rPr>
          <w:rFonts w:ascii="宋体" w:hAnsi="宋体"/>
          <w:szCs w:val="21"/>
        </w:rPr>
      </w:pPr>
      <w:r>
        <w:rPr>
          <w:rFonts w:ascii="宋体" w:hAnsi="宋体"/>
          <w:szCs w:val="21"/>
        </w:rPr>
        <w:t>11.</w:t>
      </w:r>
      <w:r>
        <w:rPr>
          <w:rFonts w:hint="eastAsia" w:ascii="宋体" w:hAnsi="宋体"/>
          <w:szCs w:val="21"/>
        </w:rPr>
        <w:t xml:space="preserve"> 配备专属客户经理与医疗行业技术团队，全程对接需求、实施与运维工作；</w:t>
      </w:r>
    </w:p>
    <w:p w14:paraId="1FBFA754">
      <w:pPr>
        <w:spacing w:line="360" w:lineRule="auto"/>
        <w:ind w:firstLine="420"/>
        <w:rPr>
          <w:rFonts w:ascii="宋体" w:hAnsi="宋体"/>
          <w:szCs w:val="21"/>
        </w:rPr>
      </w:pPr>
      <w:r>
        <w:rPr>
          <w:rFonts w:ascii="宋体" w:hAnsi="宋体"/>
          <w:szCs w:val="21"/>
        </w:rPr>
        <w:t xml:space="preserve">12. </w:t>
      </w:r>
      <w:r>
        <w:rPr>
          <w:rFonts w:hint="eastAsia" w:ascii="宋体" w:hAnsi="宋体"/>
          <w:szCs w:val="21"/>
        </w:rPr>
        <w:t>服务期间，全年中断总时长不得超过</w:t>
      </w:r>
      <w:r>
        <w:rPr>
          <w:rFonts w:ascii="宋体" w:hAnsi="宋体"/>
          <w:szCs w:val="21"/>
        </w:rPr>
        <w:t>5</w:t>
      </w:r>
      <w:r>
        <w:rPr>
          <w:rFonts w:hint="eastAsia" w:ascii="宋体" w:hAnsi="宋体"/>
          <w:szCs w:val="21"/>
        </w:rPr>
        <w:t>小时，每超1小时扣除年租金的5%；</w:t>
      </w:r>
    </w:p>
    <w:p w14:paraId="23BF939A">
      <w:pPr>
        <w:spacing w:line="360" w:lineRule="auto"/>
        <w:ind w:firstLine="420"/>
        <w:rPr>
          <w:rFonts w:ascii="宋体" w:hAnsi="宋体"/>
          <w:szCs w:val="21"/>
        </w:rPr>
      </w:pPr>
      <w:r>
        <w:rPr>
          <w:rFonts w:hint="eastAsia" w:ascii="宋体" w:hAnsi="宋体"/>
          <w:szCs w:val="21"/>
        </w:rPr>
        <w:t>1</w:t>
      </w:r>
      <w:r>
        <w:rPr>
          <w:rFonts w:ascii="宋体" w:hAnsi="宋体"/>
          <w:szCs w:val="21"/>
        </w:rPr>
        <w:t>3.</w:t>
      </w:r>
      <w:r>
        <w:rPr>
          <w:rFonts w:hint="eastAsia" w:ascii="宋体" w:hAnsi="宋体"/>
          <w:szCs w:val="21"/>
        </w:rPr>
        <w:t>签订合同时签署保密协议，永久不得外泄医院任何数据。</w:t>
      </w:r>
      <w:r>
        <w:rPr>
          <w:rFonts w:ascii="宋体" w:hAnsi="宋体"/>
          <w:szCs w:val="21"/>
        </w:rPr>
        <w:t xml:space="preserve"> </w:t>
      </w:r>
    </w:p>
    <w:p w14:paraId="7B6EE28D">
      <w:pPr>
        <w:tabs>
          <w:tab w:val="left" w:pos="-420"/>
        </w:tabs>
        <w:spacing w:line="360" w:lineRule="auto"/>
        <w:rPr>
          <w:rFonts w:ascii="宋体" w:hAnsi="宋体"/>
          <w:szCs w:val="21"/>
        </w:rPr>
      </w:pPr>
    </w:p>
    <w:p w14:paraId="039E3B77">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五、服务时间</w:t>
      </w:r>
    </w:p>
    <w:p w14:paraId="2FE84363">
      <w:pPr>
        <w:widowControl/>
        <w:spacing w:line="360" w:lineRule="auto"/>
        <w:ind w:firstLine="420" w:firstLineChars="200"/>
        <w:outlineLvl w:val="1"/>
      </w:pPr>
      <w:r>
        <w:t>服务</w:t>
      </w:r>
      <w:r>
        <w:rPr>
          <w:rFonts w:hint="eastAsia"/>
        </w:rPr>
        <w:t>期时间待定</w:t>
      </w:r>
      <w:r>
        <w:t>。</w:t>
      </w:r>
      <w:r>
        <w:rPr>
          <w:rFonts w:hint="eastAsia"/>
        </w:rPr>
        <w:t>后面服务</w:t>
      </w:r>
      <w:r>
        <w:t>合同到期后，如甲方书面通知要求延</w:t>
      </w:r>
      <w:r>
        <w:rPr>
          <w:rFonts w:hint="eastAsia"/>
        </w:rPr>
        <w:t>长</w:t>
      </w:r>
      <w:r>
        <w:t>服务</w:t>
      </w:r>
      <w:r>
        <w:rPr>
          <w:rFonts w:hint="eastAsia"/>
        </w:rPr>
        <w:t>时间</w:t>
      </w:r>
      <w:r>
        <w:t>，乙方应按合同</w:t>
      </w:r>
      <w:r>
        <w:rPr>
          <w:rFonts w:hint="eastAsia"/>
        </w:rPr>
        <w:t>内规定的</w:t>
      </w:r>
      <w:r>
        <w:t>同等服务标准提供服务；延长期服务费在服务终止后，参照原合同标准按实际服务自然日结算</w:t>
      </w:r>
      <w:r>
        <w:rPr>
          <w:rFonts w:hint="eastAsia"/>
        </w:rPr>
        <w:t>。</w:t>
      </w:r>
    </w:p>
    <w:p w14:paraId="10D28028">
      <w:pPr>
        <w:widowControl/>
        <w:spacing w:line="360" w:lineRule="auto"/>
        <w:ind w:firstLine="420" w:firstLineChars="200"/>
        <w:outlineLvl w:val="1"/>
      </w:pPr>
    </w:p>
    <w:p w14:paraId="39312A54">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六、报价要求</w:t>
      </w:r>
    </w:p>
    <w:p w14:paraId="7F4B22EA">
      <w:pPr>
        <w:pStyle w:val="4"/>
        <w:spacing w:beforeAutospacing="0" w:afterAutospacing="0" w:line="360" w:lineRule="auto"/>
        <w:ind w:firstLine="420" w:firstLineChars="200"/>
        <w:jc w:val="both"/>
        <w:rPr>
          <w:rFonts w:ascii="宋体" w:hAnsi="宋体" w:cs="宋体"/>
          <w:color w:val="000000"/>
          <w:sz w:val="21"/>
          <w:szCs w:val="21"/>
        </w:rPr>
      </w:pPr>
      <w:r>
        <w:rPr>
          <w:rFonts w:hint="eastAsia" w:ascii="宋体" w:hAnsi="宋体" w:cs="宋体"/>
          <w:color w:val="000000"/>
          <w:sz w:val="21"/>
          <w:szCs w:val="21"/>
        </w:rPr>
        <w:t>待定</w:t>
      </w:r>
    </w:p>
    <w:p w14:paraId="0A98A705">
      <w:pPr>
        <w:pStyle w:val="4"/>
        <w:spacing w:beforeAutospacing="0" w:afterAutospacing="0" w:line="360" w:lineRule="auto"/>
        <w:ind w:firstLine="420" w:firstLineChars="200"/>
        <w:jc w:val="both"/>
        <w:rPr>
          <w:rFonts w:ascii="宋体" w:hAnsi="宋体" w:cs="宋体"/>
          <w:color w:val="000000"/>
          <w:sz w:val="21"/>
          <w:szCs w:val="21"/>
        </w:rPr>
      </w:pPr>
    </w:p>
    <w:p w14:paraId="78AD6DE3">
      <w:pPr>
        <w:widowControl/>
        <w:spacing w:line="360" w:lineRule="auto"/>
        <w:outlineLvl w:val="1"/>
        <w:rPr>
          <w:rFonts w:ascii="宋体" w:hAnsi="宋体" w:cs="宋体"/>
          <w:b/>
          <w:bCs/>
          <w:color w:val="000000"/>
          <w:szCs w:val="21"/>
        </w:rPr>
      </w:pPr>
      <w:r>
        <w:rPr>
          <w:rFonts w:hint="eastAsia" w:ascii="宋体" w:hAnsi="宋体" w:cs="宋体"/>
          <w:b/>
          <w:bCs/>
          <w:color w:val="000000"/>
          <w:szCs w:val="21"/>
        </w:rPr>
        <w:t>七、评选方式</w:t>
      </w:r>
    </w:p>
    <w:p w14:paraId="78EF3639">
      <w:pPr>
        <w:pStyle w:val="4"/>
        <w:spacing w:beforeAutospacing="0" w:afterAutospacing="0" w:line="360" w:lineRule="auto"/>
        <w:ind w:firstLine="420" w:firstLineChars="200"/>
        <w:jc w:val="both"/>
        <w:rPr>
          <w:rFonts w:ascii="宋体" w:hAnsi="宋体" w:cs="宋体"/>
          <w:color w:val="000000"/>
          <w:sz w:val="21"/>
          <w:szCs w:val="21"/>
        </w:rPr>
      </w:pPr>
      <w:r>
        <w:rPr>
          <w:rFonts w:hint="eastAsia" w:ascii="宋体" w:hAnsi="宋体" w:cs="宋体"/>
          <w:color w:val="000000"/>
          <w:sz w:val="21"/>
          <w:szCs w:val="21"/>
        </w:rPr>
        <w:t>待定。</w:t>
      </w:r>
    </w:p>
    <w:p w14:paraId="1F5F67F3">
      <w:pPr>
        <w:pStyle w:val="4"/>
        <w:spacing w:beforeAutospacing="0" w:afterAutospacing="0" w:line="360" w:lineRule="auto"/>
        <w:jc w:val="both"/>
        <w:rPr>
          <w:rFonts w:ascii="宋体" w:hAnsi="宋体" w:cs="宋体"/>
          <w:b/>
          <w:bCs/>
          <w:color w:val="000000"/>
          <w:kern w:val="2"/>
          <w:sz w:val="21"/>
          <w:szCs w:val="21"/>
        </w:rPr>
      </w:pPr>
      <w:r>
        <w:rPr>
          <w:rFonts w:hint="eastAsia" w:ascii="宋体" w:hAnsi="宋体" w:cs="宋体"/>
          <w:b/>
          <w:bCs/>
          <w:color w:val="000000"/>
          <w:kern w:val="2"/>
          <w:sz w:val="21"/>
          <w:szCs w:val="21"/>
        </w:rPr>
        <w:t>八、保密条款</w:t>
      </w:r>
    </w:p>
    <w:p w14:paraId="17A38E29">
      <w:pPr>
        <w:pStyle w:val="4"/>
        <w:spacing w:beforeAutospacing="0" w:afterAutospacing="0" w:line="360" w:lineRule="auto"/>
        <w:jc w:val="both"/>
        <w:rPr>
          <w:rFonts w:ascii="宋体" w:hAnsi="宋体" w:cs="宋体"/>
          <w:b/>
          <w:bCs/>
          <w:color w:val="000000"/>
          <w:kern w:val="2"/>
          <w:sz w:val="21"/>
          <w:szCs w:val="21"/>
        </w:rPr>
      </w:pPr>
      <w:r>
        <w:rPr>
          <w:rFonts w:hint="eastAsia" w:ascii="宋体" w:hAnsi="宋体" w:cs="宋体"/>
          <w:b/>
          <w:bCs/>
          <w:color w:val="000000"/>
          <w:kern w:val="2"/>
          <w:sz w:val="21"/>
          <w:szCs w:val="21"/>
        </w:rPr>
        <w:t xml:space="preserve">    </w:t>
      </w:r>
      <w:r>
        <w:rPr>
          <w:rFonts w:hint="eastAsia" w:ascii="宋体" w:hAnsi="宋体" w:cs="宋体"/>
          <w:color w:val="000000"/>
          <w:sz w:val="21"/>
          <w:szCs w:val="21"/>
        </w:rPr>
        <w:t>中标人及其所有参与本项目的项目经理及运维工程师，应当严格遵守《中华人民共和国网络安全法》《中华人民共和国个人信息保护法》及医院内部信息安全、数据保密管理相关制度，对在维保实施、巡检、故障处置过程中接触到的医院网络拓扑、硬件资产信息、业务系统配置、医疗业务数据、患者隐私信息、账号口令、内部文档资料等全部信息承担永久保密责任，不因本服务合同终止而失效。</w:t>
      </w:r>
    </w:p>
    <w:p w14:paraId="3A327DC5">
      <w:pPr>
        <w:pStyle w:val="4"/>
        <w:spacing w:beforeAutospacing="0" w:afterAutospacing="0" w:line="360" w:lineRule="auto"/>
        <w:jc w:val="both"/>
        <w:rPr>
          <w:rFonts w:ascii="宋体" w:hAnsi="宋体" w:cs="宋体"/>
          <w:color w:val="000000"/>
          <w:sz w:val="21"/>
          <w:szCs w:val="21"/>
        </w:rPr>
      </w:pPr>
    </w:p>
    <w:p w14:paraId="18D6166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606C30"/>
    <w:multiLevelType w:val="singleLevel"/>
    <w:tmpl w:val="CC606C30"/>
    <w:lvl w:ilvl="0" w:tentative="0">
      <w:start w:val="1"/>
      <w:numFmt w:val="chineseCounting"/>
      <w:suff w:val="nothing"/>
      <w:lvlText w:val="（%1）"/>
      <w:lvlJc w:val="left"/>
      <w:pPr>
        <w:ind w:left="0" w:firstLine="420"/>
      </w:pPr>
      <w:rPr>
        <w:rFonts w:hint="eastAsia"/>
      </w:rPr>
    </w:lvl>
  </w:abstractNum>
  <w:abstractNum w:abstractNumId="1">
    <w:nsid w:val="1764DC1F"/>
    <w:multiLevelType w:val="singleLevel"/>
    <w:tmpl w:val="1764DC1F"/>
    <w:lvl w:ilvl="0" w:tentative="0">
      <w:start w:val="1"/>
      <w:numFmt w:val="chineseCounting"/>
      <w:suff w:val="nothing"/>
      <w:lvlText w:val="（%1）"/>
      <w:lvlJc w:val="left"/>
      <w:pPr>
        <w:ind w:left="0" w:firstLine="420"/>
      </w:pPr>
      <w:rPr>
        <w:rFonts w:hint="eastAsia"/>
      </w:rPr>
    </w:lvl>
  </w:abstractNum>
  <w:abstractNum w:abstractNumId="2">
    <w:nsid w:val="6FD92010"/>
    <w:multiLevelType w:val="multilevel"/>
    <w:tmpl w:val="6FD92010"/>
    <w:lvl w:ilvl="0" w:tentative="0">
      <w:start w:val="4"/>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45D"/>
    <w:rsid w:val="000A3D7A"/>
    <w:rsid w:val="00166E75"/>
    <w:rsid w:val="00177265"/>
    <w:rsid w:val="001D1C9C"/>
    <w:rsid w:val="00264ABF"/>
    <w:rsid w:val="003C5ABB"/>
    <w:rsid w:val="004A445D"/>
    <w:rsid w:val="005571DE"/>
    <w:rsid w:val="005A5ACE"/>
    <w:rsid w:val="005E70CB"/>
    <w:rsid w:val="0064606C"/>
    <w:rsid w:val="006C7FD1"/>
    <w:rsid w:val="006F2D68"/>
    <w:rsid w:val="0076143F"/>
    <w:rsid w:val="009A7847"/>
    <w:rsid w:val="00BC0AAC"/>
    <w:rsid w:val="00C00593"/>
    <w:rsid w:val="00D41F23"/>
    <w:rsid w:val="00DA6779"/>
    <w:rsid w:val="00E34957"/>
    <w:rsid w:val="00EC3F09"/>
    <w:rsid w:val="00FA217F"/>
    <w:rsid w:val="192903E4"/>
    <w:rsid w:val="41094794"/>
    <w:rsid w:val="42C03AD1"/>
    <w:rsid w:val="47D67205"/>
    <w:rsid w:val="4ADE74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qFormat/>
    <w:uiPriority w:val="0"/>
    <w:pPr>
      <w:spacing w:beforeAutospacing="1" w:afterAutospacing="1"/>
      <w:jc w:val="left"/>
    </w:pPr>
    <w:rPr>
      <w:kern w:val="0"/>
      <w:sz w:val="24"/>
    </w:rPr>
  </w:style>
  <w:style w:type="table" w:styleId="6">
    <w:name w:val="Table Grid"/>
    <w:basedOn w:val="5"/>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页眉 字符"/>
    <w:basedOn w:val="7"/>
    <w:link w:val="3"/>
    <w:qFormat/>
    <w:uiPriority w:val="99"/>
    <w:rPr>
      <w:sz w:val="18"/>
      <w:szCs w:val="18"/>
    </w:rPr>
  </w:style>
  <w:style w:type="character" w:customStyle="1" w:styleId="9">
    <w:name w:val="页脚 字符"/>
    <w:basedOn w:val="7"/>
    <w:link w:val="2"/>
    <w:qFormat/>
    <w:uiPriority w:val="99"/>
    <w:rPr>
      <w:sz w:val="18"/>
      <w:szCs w:val="18"/>
    </w:rPr>
  </w:style>
  <w:style w:type="paragraph" w:styleId="10">
    <w:name w:val="List Paragraph"/>
    <w:basedOn w:val="1"/>
    <w:qFormat/>
    <w:uiPriority w:val="34"/>
    <w:pPr>
      <w:ind w:firstLine="420" w:firstLineChars="200"/>
    </w:pPr>
    <w:rPr>
      <w:rFonts w:asciiTheme="minorHAnsi" w:hAnsiTheme="minorHAnsi" w:eastAsiaTheme="minorEastAsia" w:cstheme="minorBidi"/>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1385</Words>
  <Characters>1448</Characters>
  <Lines>12</Lines>
  <Paragraphs>3</Paragraphs>
  <TotalTime>25</TotalTime>
  <ScaleCrop>false</ScaleCrop>
  <LinksUpToDate>false</LinksUpToDate>
  <CharactersWithSpaces>1486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2026-09-14T01:50:00Z</dcterms:created>
  <dc:creator>1112321564</dc:creator>
  <cp:lastModifiedBy>张娟</cp:lastModifiedBy>
  <dcterms:modified xsi:type="dcterms:W3CDTF">2026-09-17T01:40:39Z</dcterms:modified>
  <cp:revision>25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eyJoZGlkIjoiNWY2YjI5NmM4NjcyZTgwOGJhOGNiODM4NTg0ZjVhNTAiLCJ1c2VySWQiOiIxNjE2NzM1NzA0In0=</vt:lpwstr>
  </property>
  <property fmtid="{D5CDD505-2E9C-101B-9397-08002B2CF9AE}" pid="3" name="KSOProductBuildVer">
    <vt:lpwstr>2052-12.1.0.28043</vt:lpwstr>
  </property>
  <property fmtid="{D5CDD505-2E9C-101B-9397-08002B2CF9AE}" pid="4" name="ICV">
    <vt:lpwstr>8375AD04303940E589237AEC76CEF761_13</vt:lpwstr>
  </property>
</Properties>
</file>