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A4DFC">
      <w:pPr>
        <w:spacing w:before="0" w:after="160" w:line="336" w:lineRule="auto"/>
        <w:jc w:val="center"/>
        <w:rPr>
          <w:rFonts w:hint="eastAsia"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  <w:sz w:val="44"/>
        </w:rPr>
        <w:t>重庆医科大学附属第二医院</w:t>
      </w:r>
    </w:p>
    <w:p w14:paraId="445565E0">
      <w:pPr>
        <w:spacing w:before="0" w:after="240" w:line="336" w:lineRule="auto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sz w:val="32"/>
        </w:rPr>
        <w:t>一体化调度管理平台功能需求</w:t>
      </w:r>
    </w:p>
    <w:p w14:paraId="23257D7F">
      <w:pPr>
        <w:spacing w:before="0" w:after="16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我院拟建设一体化调度管理平台，通过标准化接口深度联动资源管控体系与数据管控体系，构建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“</w:t>
      </w:r>
      <w:r>
        <w:rPr>
          <w:rFonts w:ascii="Times New Roman" w:hAnsi="Times New Roman" w:eastAsia="仿宋_GB2312"/>
          <w:b w:val="0"/>
          <w:sz w:val="28"/>
        </w:rPr>
        <w:t>业务需求触发—资源调度保障—数据调度匹配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”</w:t>
      </w:r>
      <w:r>
        <w:rPr>
          <w:rFonts w:ascii="Times New Roman" w:hAnsi="Times New Roman" w:eastAsia="仿宋_GB2312"/>
          <w:b w:val="0"/>
          <w:sz w:val="28"/>
        </w:rPr>
        <w:t>的全流程闭环联动机制。平台对项目配套建设的计算、存储、网络、安全资源池及全病种全流程医疗数据进行统一纳管、智能调度、全时监控与服务化封装，为多模态知识工程平台、高质量数据集加工生产平台提供稳定、合规、弹性的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“</w:t>
      </w:r>
      <w:r>
        <w:rPr>
          <w:rFonts w:ascii="Times New Roman" w:hAnsi="Times New Roman" w:eastAsia="仿宋_GB2312"/>
          <w:b w:val="0"/>
          <w:sz w:val="28"/>
        </w:rPr>
        <w:t>资源+数据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”</w:t>
      </w:r>
      <w:r>
        <w:rPr>
          <w:rFonts w:ascii="Times New Roman" w:hAnsi="Times New Roman" w:eastAsia="仿宋_GB2312"/>
          <w:b w:val="0"/>
          <w:sz w:val="28"/>
        </w:rPr>
        <w:t>双重支撑。本次阳光推介重点了解产品能力、适配范围、实施条件及市场价格，为后续采购建设提供参考。平台核心功能需求如下：</w:t>
      </w:r>
    </w:p>
    <w:p w14:paraId="47E12EA0">
      <w:pPr>
        <w:spacing w:before="240" w:after="120" w:line="336" w:lineRule="auto"/>
      </w:pPr>
      <w:r>
        <w:rPr>
          <w:rFonts w:ascii="Times New Roman" w:hAnsi="Times New Roman" w:eastAsia="黑体"/>
          <w:b/>
          <w:sz w:val="30"/>
        </w:rPr>
        <w:t>第一部分　硬件资源的监控</w:t>
      </w:r>
    </w:p>
    <w:p w14:paraId="6D442239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1.1 异构资源统一纳管与资源台账</w:t>
      </w:r>
    </w:p>
    <w:p w14:paraId="6E1F6828">
      <w:pPr>
        <w:spacing w:before="0" w:after="80" w:line="336" w:lineRule="auto"/>
        <w:ind w:firstLine="560"/>
        <w:rPr>
          <w:rFonts w:hint="default" w:ascii="Times New Roman" w:hAnsi="Times New Roman" w:eastAsia="仿宋_GB2312"/>
          <w:b w:val="0"/>
          <w:sz w:val="28"/>
          <w:lang w:val="en-US" w:eastAsia="zh-CN"/>
        </w:rPr>
      </w:pPr>
      <w:r>
        <w:rPr>
          <w:rFonts w:ascii="Times New Roman" w:hAnsi="Times New Roman" w:eastAsia="仿宋_GB2312"/>
          <w:b w:val="0"/>
          <w:sz w:val="28"/>
        </w:rPr>
        <w:t>对项目配套建设的计算资源、存储资源、网络资源、安全资源进行全类型、全厂商、无侵入式统一纳管；通过多种标准协议与代理方式采集资源的配置信息、运行状态、性能指标与告警事件，具备资源自动发现与自定义脚本适配能力；按照统一资源信息模型形成全院信息化资源统一台账，自动生成逻辑拓扑与物理拓扑，并分层展示与逐级下钻；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平台</w:t>
      </w:r>
      <w:r>
        <w:rPr>
          <w:rFonts w:ascii="Times New Roman" w:hAnsi="Times New Roman" w:eastAsia="仿宋_GB2312"/>
          <w:b w:val="0"/>
          <w:sz w:val="28"/>
        </w:rPr>
        <w:t>提供资产台账、IP地址管理与备件管理等基础管理能力。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用户能够</w:t>
      </w:r>
      <w:r>
        <w:rPr>
          <w:rFonts w:ascii="Times New Roman" w:hAnsi="Times New Roman" w:eastAsia="仿宋_GB2312"/>
          <w:b w:val="0"/>
          <w:sz w:val="28"/>
        </w:rPr>
        <w:t>自定义配置资产检查规则，</w:t>
      </w:r>
      <w:r>
        <w:rPr>
          <w:rFonts w:ascii="Times New Roman" w:hAnsi="Times New Roman" w:eastAsia="仿宋_GB2312"/>
          <w:b w:val="0"/>
          <w:sz w:val="28"/>
          <w:highlight w:val="none"/>
        </w:rPr>
        <w:t>包括但不限于：资产编号、IP等关键字段不为空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eastAsia="zh-CN"/>
        </w:rPr>
        <w:t>、</w:t>
      </w:r>
      <w:r>
        <w:rPr>
          <w:rFonts w:ascii="Times New Roman" w:hAnsi="Times New Roman" w:eastAsia="仿宋_GB2312"/>
          <w:b w:val="0"/>
          <w:sz w:val="28"/>
          <w:highlight w:val="none"/>
        </w:rPr>
        <w:t>设备维保到期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val="en-US" w:eastAsia="zh-CN"/>
        </w:rPr>
        <w:t>前</w:t>
      </w:r>
      <w:r>
        <w:rPr>
          <w:rFonts w:ascii="Times New Roman" w:hAnsi="Times New Roman" w:eastAsia="仿宋_GB2312"/>
          <w:b w:val="0"/>
          <w:sz w:val="28"/>
          <w:highlight w:val="none"/>
        </w:rPr>
        <w:t>提醒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eastAsia="zh-CN"/>
        </w:rPr>
        <w:t>、</w:t>
      </w:r>
      <w:r>
        <w:rPr>
          <w:rFonts w:ascii="Times New Roman" w:hAnsi="Times New Roman" w:eastAsia="仿宋_GB2312"/>
          <w:b w:val="0"/>
          <w:sz w:val="28"/>
          <w:highlight w:val="none"/>
        </w:rPr>
        <w:t xml:space="preserve"> 资产生命周期管理（上线、在保、过保、报废）资产统计分析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val="en-US" w:eastAsia="zh-CN"/>
        </w:rPr>
        <w:t>等。台账可</w:t>
      </w:r>
      <w:r>
        <w:rPr>
          <w:rFonts w:ascii="Times New Roman" w:hAnsi="Times New Roman" w:eastAsia="仿宋_GB2312"/>
          <w:b w:val="0"/>
          <w:sz w:val="28"/>
          <w:highlight w:val="none"/>
        </w:rPr>
        <w:t>按厂商、按类型、按状态、按机房等维度统计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val="en-US" w:eastAsia="zh-CN"/>
        </w:rPr>
        <w:t>并可生成</w:t>
      </w:r>
      <w:r>
        <w:rPr>
          <w:rFonts w:ascii="Times New Roman" w:hAnsi="Times New Roman" w:eastAsia="仿宋_GB2312"/>
          <w:b w:val="0"/>
          <w:sz w:val="28"/>
          <w:highlight w:val="none"/>
        </w:rPr>
        <w:t>资产报表。</w:t>
      </w:r>
    </w:p>
    <w:p w14:paraId="77A237FC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1.2 资源全维度监控</w:t>
      </w:r>
    </w:p>
    <w:p w14:paraId="19AE7A2B">
      <w:pPr>
        <w:spacing w:before="0" w:after="8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对计算、存储、网络、安全资源池及虚拟化、容器环境进行7×24小时统一监控，覆盖服务器硬件状态、操作系统与数据库/中间件运行指标、存储容量与性能、网络端口流量与链路质量、安全设备防护状态等全维度指标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监控面板</w:t>
      </w:r>
      <w:r>
        <w:rPr>
          <w:rFonts w:ascii="Times New Roman" w:hAnsi="Times New Roman" w:eastAsia="仿宋_GB2312"/>
          <w:b w:val="0"/>
          <w:sz w:val="28"/>
        </w:rPr>
        <w:t>按集群、节点、实例多层级下钻查看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。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平台能将医院</w:t>
      </w:r>
      <w:r>
        <w:rPr>
          <w:rFonts w:ascii="Times New Roman" w:hAnsi="Times New Roman" w:eastAsia="仿宋_GB2312"/>
          <w:b w:val="0"/>
          <w:sz w:val="28"/>
        </w:rPr>
        <w:t>机房动环系统告警统一纳入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具备</w:t>
      </w:r>
      <w:r>
        <w:rPr>
          <w:rFonts w:ascii="Times New Roman" w:hAnsi="Times New Roman" w:eastAsia="仿宋_GB2312"/>
          <w:b w:val="0"/>
          <w:sz w:val="28"/>
        </w:rPr>
        <w:t>监控模板库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设置</w:t>
      </w:r>
      <w:r>
        <w:rPr>
          <w:rFonts w:ascii="Times New Roman" w:hAnsi="Times New Roman" w:eastAsia="仿宋_GB2312"/>
          <w:b w:val="0"/>
          <w:sz w:val="28"/>
        </w:rPr>
        <w:t>与脚本管理能力，按监控项独立配置采集策略。监控采集遵循业务优先原则，不影响被监控设备及业务系统正常运行，被监控资源负载过高时采集自动降级或暂停。</w:t>
      </w:r>
    </w:p>
    <w:p w14:paraId="0E72FD25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1.3 统一监控可视化与告警管理</w:t>
      </w:r>
    </w:p>
    <w:p w14:paraId="65CAD7DA">
      <w:pPr>
        <w:spacing w:before="0" w:after="80" w:line="336" w:lineRule="auto"/>
        <w:ind w:firstLine="560"/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平台有</w:t>
      </w:r>
      <w:r>
        <w:rPr>
          <w:rFonts w:ascii="Times New Roman" w:hAnsi="Times New Roman" w:eastAsia="仿宋_GB2312"/>
          <w:b w:val="0"/>
          <w:sz w:val="28"/>
        </w:rPr>
        <w:t>统一可视化监控界面，集中展示资源运行状态、数据同步延迟、作业任务状态、采集服务及通道状态；提供可视化大屏、自定义监控面板及网络拓扑、业务拓扑展示，故障影响范围分析；阈值、趋势、波动、状态变更、日志关键字等多种告警触发条件与多级分级告警，短信、邮箱、电话、即时通讯等多种差异化通知方式及按级别、类型、时间段、对象组的通知策略；告警静默期、告警风暴抑制、维护期管理与告警忽略；告警与拓扑联动、告警知识库及资源与业务双向联动定位。</w:t>
      </w:r>
    </w:p>
    <w:p w14:paraId="335827A3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1.4 运维管理</w:t>
      </w:r>
    </w:p>
    <w:p w14:paraId="7299DCF3">
      <w:pPr>
        <w:spacing w:before="0" w:after="8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实现故障告警闭环管理，覆盖故障自动发现、自动派单、处理跟踪、结果验证、复盘归档全流程；自定义巡检计划与巡检脚本，自动生成巡检报告，异常项自动触发告警并生成工单；基于历史数据的容量趋势预测，辅助资源扩容决策；自动记录运维操作、故障处理、变更记录、巡检结果，形成标准化运维台账；工单全生命周期管理与运维知识沉淀；提供报表订阅与智能运维能力，包括告警聚合降噪、根因分析、故障趋势预测及AI运维助手，对接本地私有化部署大模型与私域知识库。</w:t>
      </w:r>
    </w:p>
    <w:p w14:paraId="7B2D3230">
      <w:pPr>
        <w:spacing w:before="240" w:after="120" w:line="336" w:lineRule="auto"/>
      </w:pPr>
      <w:r>
        <w:rPr>
          <w:rFonts w:ascii="Times New Roman" w:hAnsi="Times New Roman" w:eastAsia="黑体"/>
          <w:b/>
          <w:sz w:val="30"/>
        </w:rPr>
        <w:t>第二部分　硬件资源的调度</w:t>
      </w:r>
    </w:p>
    <w:p w14:paraId="49759DFC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2.1 资源服务封装与智能调度编排</w:t>
      </w:r>
    </w:p>
    <w:p w14:paraId="3BA85F6B">
      <w:pPr>
        <w:spacing w:before="0" w:after="8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对纳管异构资源进行标准化、场景化服务封装，形成弹性计算服务、统一存储服务、高可靠网络服务与全链路安全服务，涵盖容器化统一管理、差异化算力规格配置、弹性扩缩容、任务优先级与配额管理、存储冷热分层与数据生命周期管理、网络链路隔离与带宽保障、安全策略统一管理与一键下发；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平台采用</w:t>
      </w:r>
      <w:r>
        <w:rPr>
          <w:rFonts w:ascii="Times New Roman" w:hAnsi="Times New Roman" w:eastAsia="仿宋_GB2312"/>
          <w:b w:val="0"/>
          <w:sz w:val="28"/>
        </w:rPr>
        <w:t>分布式资源智能调度引擎，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能够进行</w:t>
      </w:r>
      <w:r>
        <w:rPr>
          <w:rFonts w:ascii="Times New Roman" w:hAnsi="Times New Roman" w:eastAsia="仿宋_GB2312"/>
          <w:b w:val="0"/>
          <w:sz w:val="28"/>
        </w:rPr>
        <w:t>任务队列管理、异构算力混合调度（根据任务特征自动或手动匹配GPU、CPU、内存等资源）、存储按需挂载与带宽动态保障能力，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并</w:t>
      </w:r>
      <w:r>
        <w:rPr>
          <w:rFonts w:ascii="Times New Roman" w:hAnsi="Times New Roman" w:eastAsia="仿宋_GB2312"/>
          <w:b w:val="0"/>
          <w:sz w:val="28"/>
        </w:rPr>
        <w:t>按业务场景配置调度规则与任务优先级，可视化任务编排，任务结束后自动释放资源。</w:t>
      </w:r>
    </w:p>
    <w:p w14:paraId="785DD71A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2.2 作业编排与作业监控</w:t>
      </w:r>
    </w:p>
    <w:p w14:paraId="56DA3DBD">
      <w:pPr>
        <w:spacing w:before="0" w:after="8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对数据采集、同步、对账、治理等作业任务的统一创建、编排与周期调度，提供可视化任务流程设计，串行、并行、条件分支、循环及任务依赖关系设置，手工触发与自动调度；全量批量、定向精准、增量实时、触发式等多种作业调度模式；对作业任务执行状态、传输进度、传输速率、预计剩余时间、执行日志进行全流程监控，任务检索与启动、停止、暂停、立即执行、状态更新；异常自动重试与重试失败告警。</w:t>
      </w:r>
    </w:p>
    <w:p w14:paraId="618D4C70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2.3 权限管控与审计溯源</w:t>
      </w:r>
    </w:p>
    <w:p w14:paraId="26E5D768">
      <w:pPr>
        <w:spacing w:before="0" w:after="8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多用户管理与基于角色的访问控制（RBAC），可自定义角色与权限集合，按资源对象、功能模块、操作类型细粒度授权，与第三方统一认证系统对接，满足平台管理员、资源管理员、数据调度管理员等角色的分级授权需求；资源密级管理与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“</w:t>
      </w:r>
      <w:r>
        <w:rPr>
          <w:rFonts w:ascii="Times New Roman" w:hAnsi="Times New Roman" w:eastAsia="仿宋_GB2312"/>
          <w:b w:val="0"/>
          <w:sz w:val="28"/>
        </w:rPr>
        <w:t>申请—审批—授权—到期回收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”</w:t>
      </w:r>
      <w:r>
        <w:rPr>
          <w:rFonts w:ascii="Times New Roman" w:hAnsi="Times New Roman" w:eastAsia="仿宋_GB2312"/>
          <w:b w:val="0"/>
          <w:sz w:val="28"/>
        </w:rPr>
        <w:t>全闭环权限流程，严格落实最小权限原则；对资源申请、调度、使用、释放、配置变更等操作全程留痕、不可篡改、可查可审；对超权限访问、异常调度、违规资源占用、高频访问等违规行为实时自动识别与告警，高风险操作自动阻断。</w:t>
      </w:r>
    </w:p>
    <w:p w14:paraId="24F04A5C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2.4 算力平台对接与开放接口</w:t>
      </w:r>
    </w:p>
    <w:p w14:paraId="248FC8D1">
      <w:pPr>
        <w:spacing w:before="0" w:after="8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通过标准化接口对接医院现有算力调度平台，采集算力资源台账、可用状态、使用情况及调度结果等信息，在本平台统一展示和监控，实现硬件资源与算力资源信息的统一可视、协同联动；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具有</w:t>
      </w:r>
      <w:r>
        <w:rPr>
          <w:rFonts w:ascii="Times New Roman" w:hAnsi="Times New Roman" w:eastAsia="仿宋_GB2312"/>
          <w:b w:val="0"/>
          <w:sz w:val="28"/>
        </w:rPr>
        <w:t>标准化开放API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能力</w:t>
      </w:r>
      <w:r>
        <w:rPr>
          <w:rFonts w:ascii="Times New Roman" w:hAnsi="Times New Roman" w:eastAsia="仿宋_GB2312"/>
          <w:b w:val="0"/>
          <w:sz w:val="28"/>
        </w:rPr>
        <w:t>，覆盖资源管理、监控数据查询、告警管理、报表数据、资产管理等功能，具备鉴权、访问控制、限流与调用监控能力，提供完整的API开发文档；日志审计、工单、第三方办公平台等系统对接及自定义脚本、Webhook回调等定制扩展，兼容主流开源监控技术栈数据源接入与平滑迁移。</w:t>
      </w:r>
    </w:p>
    <w:p w14:paraId="10646406">
      <w:pPr>
        <w:spacing w:before="120" w:after="40" w:line="336" w:lineRule="auto"/>
      </w:pPr>
      <w:r>
        <w:rPr>
          <w:rFonts w:hint="eastAsia" w:ascii="Times New Roman" w:hAnsi="Times New Roman" w:eastAsia="仿宋_GB2312"/>
          <w:b/>
          <w:sz w:val="28"/>
          <w:lang w:val="en-US" w:eastAsia="zh-CN"/>
        </w:rPr>
        <w:t>第一、第二部分</w:t>
      </w:r>
      <w:r>
        <w:rPr>
          <w:rFonts w:ascii="Times New Roman" w:hAnsi="Times New Roman" w:eastAsia="仿宋_GB2312"/>
          <w:b/>
          <w:sz w:val="28"/>
        </w:rPr>
        <w:t>总体</w:t>
      </w:r>
      <w:r>
        <w:rPr>
          <w:rFonts w:hint="eastAsia" w:ascii="Times New Roman" w:hAnsi="Times New Roman" w:eastAsia="仿宋_GB2312"/>
          <w:b/>
          <w:sz w:val="28"/>
          <w:lang w:val="en-US" w:eastAsia="zh-CN"/>
        </w:rPr>
        <w:t>要</w:t>
      </w:r>
      <w:r>
        <w:rPr>
          <w:rFonts w:ascii="Times New Roman" w:hAnsi="Times New Roman" w:eastAsia="仿宋_GB2312"/>
          <w:b/>
          <w:sz w:val="28"/>
        </w:rPr>
        <w:t>求</w:t>
      </w:r>
    </w:p>
    <w:p w14:paraId="5AA3E541">
      <w:pPr>
        <w:spacing w:before="0" w:after="80" w:line="336" w:lineRule="auto"/>
        <w:ind w:firstLine="560"/>
      </w:pPr>
      <w:r>
        <w:rPr>
          <w:rFonts w:hint="eastAsia" w:ascii="Times New Roman" w:hAnsi="Times New Roman" w:eastAsia="仿宋_GB2312"/>
          <w:b w:val="0"/>
          <w:sz w:val="28"/>
          <w:highlight w:val="none"/>
          <w:lang w:val="en-US" w:eastAsia="zh-CN"/>
        </w:rPr>
        <w:t>采用</w:t>
      </w:r>
      <w:r>
        <w:rPr>
          <w:rFonts w:ascii="Times New Roman" w:hAnsi="Times New Roman" w:eastAsia="仿宋_GB2312"/>
          <w:b w:val="0"/>
          <w:sz w:val="28"/>
          <w:highlight w:val="none"/>
        </w:rPr>
        <w:t>分布式微服务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eastAsia="zh-CN"/>
        </w:rPr>
        <w:t>、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val="en-US" w:eastAsia="zh-CN"/>
        </w:rPr>
        <w:t>模块化等主流</w:t>
      </w:r>
      <w:r>
        <w:rPr>
          <w:rFonts w:ascii="Times New Roman" w:hAnsi="Times New Roman" w:eastAsia="仿宋_GB2312"/>
          <w:b w:val="0"/>
          <w:sz w:val="28"/>
          <w:highlight w:val="none"/>
        </w:rPr>
        <w:t>架构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eastAsia="zh-CN"/>
        </w:rPr>
        <w:t>；</w:t>
      </w:r>
      <w:r>
        <w:rPr>
          <w:rFonts w:ascii="Times New Roman" w:hAnsi="Times New Roman" w:eastAsia="仿宋_GB2312"/>
          <w:b w:val="0"/>
          <w:sz w:val="28"/>
        </w:rPr>
        <w:t>完全本地私有化部署，数据不离院，兼容物理服务器、虚拟机、容器等多种部署方式，提供部署向导或自动化部署工具；双机热备或集群高可用部署，具备多节点负载分担、数据自动备份、节点间数据实时同步、单节点故障自动切换与过期数据自动清理能力；国产化环境适配；满足网络安全等级保护三级相关要求。</w:t>
      </w:r>
    </w:p>
    <w:p w14:paraId="5D50E25D">
      <w:pPr>
        <w:spacing w:before="240" w:after="120" w:line="336" w:lineRule="auto"/>
      </w:pPr>
      <w:r>
        <w:rPr>
          <w:rFonts w:ascii="Times New Roman" w:hAnsi="Times New Roman" w:eastAsia="黑体"/>
          <w:b/>
          <w:sz w:val="30"/>
        </w:rPr>
        <w:t>第三部分　数据监控与调度</w:t>
      </w:r>
    </w:p>
    <w:p w14:paraId="5B26A5E5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3.1 统一接入与系统配置</w:t>
      </w:r>
    </w:p>
    <w:p w14:paraId="0738EFF3">
      <w:pPr>
        <w:spacing w:before="0" w:after="80" w:line="336" w:lineRule="auto"/>
        <w:ind w:firstLine="560"/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平台能够</w:t>
      </w:r>
      <w:r>
        <w:rPr>
          <w:rFonts w:ascii="Times New Roman" w:hAnsi="Times New Roman" w:eastAsia="仿宋_GB2312"/>
          <w:b w:val="0"/>
          <w:sz w:val="28"/>
        </w:rPr>
        <w:t>维护系统环境、管理数据库、消息队列地址、日志保留周期、主机、数据库连接和采集服务等配置，提供连接测试、服务重启、版本查看及日志查询；兼容多种类型数据库，源端和目标端连接、元数据加载及批量导入，并可登记实时增量采集、数据复制等组件和运行环境。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平台需</w:t>
      </w:r>
      <w:r>
        <w:rPr>
          <w:rFonts w:ascii="Times New Roman" w:hAnsi="Times New Roman" w:eastAsia="仿宋_GB2312"/>
          <w:b w:val="0"/>
          <w:sz w:val="28"/>
        </w:rPr>
        <w:t>为多模态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数据库</w:t>
      </w:r>
      <w:r>
        <w:rPr>
          <w:rFonts w:ascii="Times New Roman" w:hAnsi="Times New Roman" w:eastAsia="仿宋_GB2312"/>
          <w:b w:val="0"/>
          <w:sz w:val="28"/>
        </w:rPr>
        <w:t>平台、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多中心数据库平台、</w:t>
      </w:r>
      <w:r>
        <w:rPr>
          <w:rFonts w:ascii="Times New Roman" w:hAnsi="Times New Roman" w:eastAsia="仿宋_GB2312"/>
          <w:b w:val="0"/>
          <w:sz w:val="28"/>
        </w:rPr>
        <w:t>数据集加工生产平台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等高质量数据集业务系统</w:t>
      </w:r>
      <w:r>
        <w:rPr>
          <w:rFonts w:ascii="Times New Roman" w:hAnsi="Times New Roman" w:eastAsia="仿宋_GB2312"/>
          <w:b w:val="0"/>
          <w:sz w:val="28"/>
        </w:rPr>
        <w:t>提供稳定、合规、弹性的数据支撑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与第一、第二部分的硬件资源监控和调度平台形成数据联动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并与以上平台和系统进行接口集以及统一界面展示</w:t>
      </w:r>
      <w:r>
        <w:rPr>
          <w:rFonts w:ascii="Times New Roman" w:hAnsi="Times New Roman" w:eastAsia="仿宋_GB2312"/>
          <w:b w:val="0"/>
          <w:sz w:val="28"/>
        </w:rPr>
        <w:t>。</w:t>
      </w:r>
    </w:p>
    <w:p w14:paraId="4D702FA0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3.2 标准化对接适配与数据链路管理</w:t>
      </w:r>
    </w:p>
    <w:p w14:paraId="23DB0276">
      <w:pPr>
        <w:spacing w:before="0" w:after="8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通过标准化接口适配器对接统一数据底座，兼容数据库直连、大数据平台读写、数据服务接口、消息队列流数据等多种数据访问方式，实现院内各业务系统数据与院外多源数据、医疗物联设备数据的统一接入；元数据自动化同步与数据表读写规则配置；数据链路创建、运行、暂停、销毁的全生命周期管理，异常链路自动告警和重连。</w:t>
      </w:r>
    </w:p>
    <w:p w14:paraId="00581EFC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3.3 数据摸排与采集配置</w:t>
      </w:r>
    </w:p>
    <w:p w14:paraId="1F0E1846">
      <w:pPr>
        <w:spacing w:before="0" w:after="80" w:line="336" w:lineRule="auto"/>
        <w:ind w:firstLine="560"/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用户能</w:t>
      </w:r>
      <w:r>
        <w:rPr>
          <w:rFonts w:ascii="Times New Roman" w:hAnsi="Times New Roman" w:eastAsia="仿宋_GB2312"/>
          <w:b w:val="0"/>
          <w:sz w:val="28"/>
        </w:rPr>
        <w:t>摸排源数据库表结构、数据量、字段数量、存储占用、主键和大字段情况，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平台</w:t>
      </w:r>
      <w:r>
        <w:rPr>
          <w:rFonts w:ascii="Times New Roman" w:hAnsi="Times New Roman" w:eastAsia="仿宋_GB2312"/>
          <w:b w:val="0"/>
          <w:sz w:val="28"/>
        </w:rPr>
        <w:t>提供空表、非空表及数据量排行等统计，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能够</w:t>
      </w:r>
      <w:r>
        <w:rPr>
          <w:rFonts w:ascii="Times New Roman" w:hAnsi="Times New Roman" w:eastAsia="仿宋_GB2312"/>
          <w:b w:val="0"/>
          <w:sz w:val="28"/>
        </w:rPr>
        <w:t>查看字段和样例数据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、</w:t>
      </w:r>
      <w:r>
        <w:rPr>
          <w:rFonts w:ascii="Times New Roman" w:hAnsi="Times New Roman" w:eastAsia="仿宋_GB2312"/>
          <w:b w:val="0"/>
          <w:sz w:val="28"/>
        </w:rPr>
        <w:t>筛选候选表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以及</w:t>
      </w:r>
      <w:r>
        <w:rPr>
          <w:rFonts w:ascii="Times New Roman" w:hAnsi="Times New Roman" w:eastAsia="仿宋_GB2312"/>
          <w:b w:val="0"/>
          <w:sz w:val="28"/>
        </w:rPr>
        <w:t>智能找表；采集配置覆盖全量导入、实时增量及静态数据，导入配置、单次或周期运行，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用户能</w:t>
      </w:r>
      <w:r>
        <w:rPr>
          <w:rFonts w:ascii="Times New Roman" w:hAnsi="Times New Roman" w:eastAsia="仿宋_GB2312"/>
          <w:b w:val="0"/>
          <w:sz w:val="28"/>
        </w:rPr>
        <w:t>查看任务状态和执行记录。</w:t>
      </w:r>
    </w:p>
    <w:p w14:paraId="74F49582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3.</w:t>
      </w:r>
      <w:r>
        <w:rPr>
          <w:rFonts w:hint="eastAsia" w:ascii="Times New Roman" w:hAnsi="Times New Roman" w:eastAsia="仿宋_GB2312"/>
          <w:b/>
          <w:sz w:val="28"/>
          <w:lang w:val="en-US" w:eastAsia="zh-CN"/>
        </w:rPr>
        <w:t>4</w:t>
      </w:r>
      <w:r>
        <w:rPr>
          <w:rFonts w:ascii="Times New Roman" w:hAnsi="Times New Roman" w:eastAsia="仿宋_GB2312"/>
          <w:b/>
          <w:sz w:val="28"/>
        </w:rPr>
        <w:t xml:space="preserve"> 数据同步与任务调度</w:t>
      </w:r>
    </w:p>
    <w:p w14:paraId="71A2DB9E">
      <w:pPr>
        <w:spacing w:before="0" w:after="80" w:line="336" w:lineRule="auto"/>
        <w:ind w:firstLine="560"/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用户能</w:t>
      </w:r>
      <w:r>
        <w:rPr>
          <w:rFonts w:ascii="Times New Roman" w:hAnsi="Times New Roman" w:eastAsia="仿宋_GB2312"/>
          <w:b w:val="0"/>
          <w:sz w:val="28"/>
        </w:rPr>
        <w:t>配置源库、目标库、采集通道、流程、执行频率和下次运行时间，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能</w:t>
      </w:r>
      <w:r>
        <w:rPr>
          <w:rFonts w:ascii="Times New Roman" w:hAnsi="Times New Roman" w:eastAsia="仿宋_GB2312"/>
          <w:b w:val="0"/>
          <w:sz w:val="28"/>
        </w:rPr>
        <w:t>对任务进行新建、复制、编辑、删除、启动和查看；任务列表按类型、名称、状态、通道和时间范围检索，展示开始时间、结束时间及运行时长；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能</w:t>
      </w:r>
      <w:r>
        <w:rPr>
          <w:rFonts w:ascii="Times New Roman" w:hAnsi="Times New Roman" w:eastAsia="仿宋_GB2312"/>
          <w:b w:val="0"/>
          <w:sz w:val="28"/>
        </w:rPr>
        <w:t>监测数据源同步延迟、采集服务和通道状态，手动刷新、阈值配置及异常处置。</w:t>
      </w:r>
    </w:p>
    <w:p w14:paraId="39952F70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3.</w:t>
      </w:r>
      <w:r>
        <w:rPr>
          <w:rFonts w:hint="eastAsia" w:ascii="Times New Roman" w:hAnsi="Times New Roman" w:eastAsia="仿宋_GB2312"/>
          <w:b/>
          <w:sz w:val="28"/>
          <w:lang w:val="en-US" w:eastAsia="zh-CN"/>
        </w:rPr>
        <w:t>5</w:t>
      </w:r>
      <w:r>
        <w:rPr>
          <w:rFonts w:ascii="Times New Roman" w:hAnsi="Times New Roman" w:eastAsia="仿宋_GB2312"/>
          <w:b/>
          <w:sz w:val="28"/>
        </w:rPr>
        <w:t xml:space="preserve"> 数据对账与质量监控</w:t>
      </w:r>
    </w:p>
    <w:p w14:paraId="46B2BD14">
      <w:pPr>
        <w:spacing w:before="0" w:after="8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数据量、月度、业务、内容、表结构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等维度内容能满足用户多样</w:t>
      </w:r>
      <w:r>
        <w:rPr>
          <w:rFonts w:ascii="Times New Roman" w:hAnsi="Times New Roman" w:eastAsia="仿宋_GB2312"/>
          <w:b w:val="0"/>
          <w:sz w:val="28"/>
        </w:rPr>
        <w:t>对账方式，可绑定执行组件，配置时间字段、对账阈值、质量校验和自动修复；质量监控展示源端与目标端数据量、差异量、差异率和历史报告，按日期、数据库、表名、状态及标签筛选；对字段缺失、类型差异等结构问题，提供DDL查看、处理和修复任务跟踪。</w:t>
      </w:r>
    </w:p>
    <w:p w14:paraId="37FD040B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3.</w:t>
      </w:r>
      <w:r>
        <w:rPr>
          <w:rFonts w:hint="eastAsia" w:ascii="Times New Roman" w:hAnsi="Times New Roman" w:eastAsia="仿宋_GB2312"/>
          <w:b/>
          <w:sz w:val="28"/>
          <w:lang w:val="en-US" w:eastAsia="zh-CN"/>
        </w:rPr>
        <w:t>6</w:t>
      </w:r>
      <w:r>
        <w:rPr>
          <w:rFonts w:ascii="Times New Roman" w:hAnsi="Times New Roman" w:eastAsia="仿宋_GB2312"/>
          <w:b/>
          <w:sz w:val="28"/>
        </w:rPr>
        <w:t xml:space="preserve"> 数据运行监控与告警管理</w:t>
      </w:r>
    </w:p>
    <w:p w14:paraId="02727092">
      <w:pPr>
        <w:spacing w:before="0" w:after="80" w:line="336" w:lineRule="auto"/>
        <w:ind w:firstLine="560"/>
      </w:pPr>
      <w:r>
        <w:rPr>
          <w:rFonts w:ascii="Times New Roman" w:hAnsi="Times New Roman" w:eastAsia="仿宋_GB2312"/>
          <w:b w:val="0"/>
          <w:sz w:val="28"/>
        </w:rPr>
        <w:t>集中展示数据库同步、数据表对账、数据指标、采集服务及通道运行状态，正常、异常筛选和关键字查询；通道详情展示延迟、启动时间、同步表、服务标识、数据流转链路和历史监控指标，启动、停止和状态更新；告警覆盖服务异常、通道异常、同步延迟、任务失败及对账异常等场景，分级阈值、消息模板、忽略对象和通知配置，告警静默期、升级规则与风暴抑制。</w:t>
      </w:r>
    </w:p>
    <w:p w14:paraId="09DBCE2C">
      <w:pPr>
        <w:spacing w:before="120" w:after="40" w:line="336" w:lineRule="auto"/>
      </w:pPr>
      <w:r>
        <w:rPr>
          <w:rFonts w:ascii="Times New Roman" w:hAnsi="Times New Roman" w:eastAsia="仿宋_GB2312"/>
          <w:b/>
          <w:sz w:val="28"/>
        </w:rPr>
        <w:t>3.</w:t>
      </w:r>
      <w:r>
        <w:rPr>
          <w:rFonts w:hint="eastAsia" w:ascii="Times New Roman" w:hAnsi="Times New Roman" w:eastAsia="仿宋_GB2312"/>
          <w:b/>
          <w:sz w:val="28"/>
          <w:lang w:val="en-US" w:eastAsia="zh-CN"/>
        </w:rPr>
        <w:t>7</w:t>
      </w:r>
      <w:r>
        <w:rPr>
          <w:rFonts w:ascii="Times New Roman" w:hAnsi="Times New Roman" w:eastAsia="仿宋_GB2312"/>
          <w:b/>
          <w:sz w:val="28"/>
        </w:rPr>
        <w:t xml:space="preserve"> 数据管理与安全控制</w:t>
      </w:r>
    </w:p>
    <w:p w14:paraId="0196D7D6">
      <w:pPr>
        <w:spacing w:before="0" w:after="80" w:line="336" w:lineRule="auto"/>
        <w:ind w:firstLine="560"/>
        <w:rPr>
          <w:rFonts w:hint="default" w:ascii="Times New Roman" w:hAnsi="Times New Roman" w:eastAsia="仿宋_GB2312"/>
          <w:b w:val="0"/>
          <w:sz w:val="28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平台能</w:t>
      </w:r>
      <w:r>
        <w:rPr>
          <w:rFonts w:ascii="Times New Roman" w:hAnsi="Times New Roman" w:eastAsia="仿宋_GB2312"/>
          <w:b w:val="0"/>
          <w:sz w:val="28"/>
        </w:rPr>
        <w:t>维护目标表与源端表映射、字段关系、标签及对账设置，忽略字段和脱敏字段配置；数据查询应限定为查询语句，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能</w:t>
      </w:r>
      <w:r>
        <w:rPr>
          <w:rFonts w:ascii="Times New Roman" w:hAnsi="Times New Roman" w:eastAsia="仿宋_GB2312"/>
          <w:b w:val="0"/>
          <w:sz w:val="28"/>
        </w:rPr>
        <w:t>控制返回数量，并提供查询日志和结果导出；提供接口调试、请求响应解析和配置文件编辑；</w:t>
      </w:r>
      <w:r>
        <w:rPr>
          <w:rFonts w:ascii="Times New Roman" w:hAnsi="Times New Roman" w:eastAsia="仿宋_GB2312"/>
          <w:b w:val="0"/>
          <w:sz w:val="28"/>
          <w:highlight w:val="none"/>
        </w:rPr>
        <w:t>脱敏</w:t>
      </w:r>
      <w:r>
        <w:rPr>
          <w:rFonts w:hint="eastAsia" w:ascii="Times New Roman" w:hAnsi="Times New Roman" w:eastAsia="仿宋_GB2312"/>
          <w:b w:val="0"/>
          <w:sz w:val="28"/>
          <w:highlight w:val="none"/>
          <w:lang w:val="en-US" w:eastAsia="zh-CN"/>
        </w:rPr>
        <w:t>规则</w:t>
      </w:r>
      <w:r>
        <w:rPr>
          <w:rFonts w:ascii="Times New Roman" w:hAnsi="Times New Roman" w:eastAsia="仿宋_GB2312"/>
          <w:b w:val="0"/>
          <w:sz w:val="28"/>
        </w:rPr>
        <w:t>、SQL超时及并发限制等参数支持按院方要求配置。</w:t>
      </w:r>
      <w:bookmarkStart w:id="0" w:name="_GoBack"/>
      <w:bookmarkEnd w:id="0"/>
    </w:p>
    <w:sectPr>
      <w:pgSz w:w="11906" w:h="16838"/>
      <w:pgMar w:top="1587" w:right="1474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076A"/>
    <w:rsid w:val="00AA1D8D"/>
    <w:rsid w:val="00B47730"/>
    <w:rsid w:val="00BB0A4B"/>
    <w:rsid w:val="00CB0664"/>
    <w:rsid w:val="00FC693F"/>
    <w:rsid w:val="0434698D"/>
    <w:rsid w:val="04AA6936"/>
    <w:rsid w:val="10E97ECC"/>
    <w:rsid w:val="11F93A7B"/>
    <w:rsid w:val="12842ED0"/>
    <w:rsid w:val="14CF105C"/>
    <w:rsid w:val="157B318B"/>
    <w:rsid w:val="1A4069D2"/>
    <w:rsid w:val="1D0A2429"/>
    <w:rsid w:val="1EAE5C65"/>
    <w:rsid w:val="21872359"/>
    <w:rsid w:val="22C52EB2"/>
    <w:rsid w:val="23515A4A"/>
    <w:rsid w:val="24BE3012"/>
    <w:rsid w:val="269A360B"/>
    <w:rsid w:val="26FC3C6B"/>
    <w:rsid w:val="29232D0B"/>
    <w:rsid w:val="2D0F4C2F"/>
    <w:rsid w:val="2DE44DDB"/>
    <w:rsid w:val="2EB74DCD"/>
    <w:rsid w:val="2F1228D8"/>
    <w:rsid w:val="308926FF"/>
    <w:rsid w:val="30EA2D3D"/>
    <w:rsid w:val="31074726"/>
    <w:rsid w:val="32317626"/>
    <w:rsid w:val="32624CD4"/>
    <w:rsid w:val="35006E5B"/>
    <w:rsid w:val="365162F9"/>
    <w:rsid w:val="36924FE1"/>
    <w:rsid w:val="3CBF22F6"/>
    <w:rsid w:val="3DD363CA"/>
    <w:rsid w:val="3E7B71FC"/>
    <w:rsid w:val="3F2C656B"/>
    <w:rsid w:val="3FBD4F75"/>
    <w:rsid w:val="489E29F7"/>
    <w:rsid w:val="49820932"/>
    <w:rsid w:val="4C2D1E54"/>
    <w:rsid w:val="51223B4B"/>
    <w:rsid w:val="542E16B3"/>
    <w:rsid w:val="5B953DC6"/>
    <w:rsid w:val="5C8300FE"/>
    <w:rsid w:val="6252473B"/>
    <w:rsid w:val="63DC07E4"/>
    <w:rsid w:val="668D49B0"/>
    <w:rsid w:val="687A16BB"/>
    <w:rsid w:val="69344E2D"/>
    <w:rsid w:val="6FC333AA"/>
    <w:rsid w:val="6FFD2810"/>
    <w:rsid w:val="70B57052"/>
    <w:rsid w:val="71E31AC0"/>
    <w:rsid w:val="74720CEB"/>
    <w:rsid w:val="77165DBC"/>
    <w:rsid w:val="775E57AC"/>
    <w:rsid w:val="78D72F01"/>
    <w:rsid w:val="7C623C46"/>
    <w:rsid w:val="7D031A1C"/>
    <w:rsid w:val="7DE6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3492</Words>
  <Characters>3549</Characters>
  <Lines>0</Lines>
  <Paragraphs>0</Paragraphs>
  <TotalTime>3</TotalTime>
  <ScaleCrop>false</ScaleCrop>
  <LinksUpToDate>false</LinksUpToDate>
  <CharactersWithSpaces>3568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刘恒</cp:lastModifiedBy>
  <dcterms:modified xsi:type="dcterms:W3CDTF">2026-09-20T03:26:08Z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eyJoZGlkIjoiMzYwYjM5OWVlODc1ZmFiYzllYjBhYWZiMjQ3Y2YxZTUiLCJ1c2VySWQiOiIxMzA0OTEyNjc3In0=</vt:lpwstr>
  </property>
  <property fmtid="{D5CDD505-2E9C-101B-9397-08002B2CF9AE}" pid="3" name="KSOProductBuildVer">
    <vt:lpwstr>2052-12.1.0.28505</vt:lpwstr>
  </property>
  <property fmtid="{D5CDD505-2E9C-101B-9397-08002B2CF9AE}" pid="4" name="ICV">
    <vt:lpwstr>A57C14018D6043FDABD7770DC56E75A2_13</vt:lpwstr>
  </property>
</Properties>
</file>