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D14B2">
      <w:pPr>
        <w:spacing w:line="360" w:lineRule="auto"/>
        <w:jc w:val="center"/>
      </w:pPr>
      <w:r>
        <w:rPr>
          <w:rFonts w:ascii="黑体" w:hAnsi="黑体" w:eastAsia="黑体"/>
          <w:b/>
          <w:sz w:val="36"/>
        </w:rPr>
        <w:t>重庆医科大学附属第二医院</w:t>
      </w:r>
    </w:p>
    <w:p w14:paraId="2EE448BF">
      <w:pPr>
        <w:spacing w:line="360" w:lineRule="auto"/>
        <w:jc w:val="center"/>
      </w:pPr>
      <w:r>
        <w:rPr>
          <w:rFonts w:ascii="黑体" w:hAnsi="黑体" w:eastAsia="黑体"/>
          <w:b/>
          <w:sz w:val="36"/>
        </w:rPr>
        <w:t>高质量数据集加工生产平台功能需求</w:t>
      </w:r>
    </w:p>
    <w:p w14:paraId="1EFE78EE">
      <w:pPr>
        <w:spacing w:line="360" w:lineRule="auto"/>
        <w:ind w:firstLine="480"/>
        <w:rPr>
          <w:rFonts w:hint="eastAsia" w:ascii="宋体" w:hAnsi="宋体" w:eastAsia="宋体"/>
          <w:b w:val="0"/>
          <w:sz w:val="24"/>
          <w:lang w:val="en-US" w:eastAsia="zh-CN"/>
        </w:rPr>
      </w:pPr>
      <w:r>
        <w:rPr>
          <w:rFonts w:ascii="宋体" w:hAnsi="宋体" w:eastAsia="宋体"/>
          <w:b w:val="0"/>
          <w:sz w:val="24"/>
        </w:rPr>
        <w:t>我院拟建设高质量数据集加工生产平台，</w:t>
      </w:r>
      <w:r>
        <w:rPr>
          <w:rFonts w:hint="eastAsia" w:ascii="宋体" w:hAnsi="宋体"/>
          <w:b w:val="0"/>
          <w:sz w:val="24"/>
          <w:lang w:val="en-US" w:eastAsia="zh-CN"/>
        </w:rPr>
        <w:t>用于</w:t>
      </w:r>
      <w:r>
        <w:rPr>
          <w:rFonts w:ascii="宋体" w:hAnsi="宋体" w:eastAsia="宋体"/>
          <w:b w:val="0"/>
          <w:sz w:val="24"/>
        </w:rPr>
        <w:t>将院内多源医疗数据加工为可用于人工智能模型训练、能力评测和科研应用的高质量数据集，实现数据</w:t>
      </w:r>
      <w:r>
        <w:rPr>
          <w:rFonts w:hint="eastAsia" w:ascii="宋体" w:hAnsi="宋体"/>
          <w:b w:val="0"/>
          <w:sz w:val="24"/>
          <w:highlight w:val="none"/>
          <w:lang w:eastAsia="zh-CN"/>
        </w:rPr>
        <w:t>采集</w:t>
      </w:r>
      <w:r>
        <w:rPr>
          <w:rFonts w:ascii="宋体" w:hAnsi="宋体" w:eastAsia="宋体"/>
          <w:b w:val="0"/>
          <w:sz w:val="24"/>
        </w:rPr>
        <w:t>、汇聚、清洗、脱敏、生成、标注、质检、交付和资产管理的全流程规范化管理。</w:t>
      </w:r>
      <w:r>
        <w:rPr>
          <w:rFonts w:hint="eastAsia" w:ascii="宋体" w:hAnsi="宋体" w:eastAsia="宋体"/>
          <w:b w:val="0"/>
          <w:sz w:val="24"/>
        </w:rPr>
        <w:t>现面向社会开展阳光推介，征集</w:t>
      </w:r>
      <w:r>
        <w:rPr>
          <w:rFonts w:ascii="宋体" w:hAnsi="宋体" w:eastAsia="宋体"/>
          <w:b w:val="0"/>
          <w:sz w:val="24"/>
        </w:rPr>
        <w:t>高质量数据集加工生产平台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建设</w:t>
      </w:r>
      <w:r>
        <w:rPr>
          <w:rFonts w:hint="eastAsia" w:ascii="宋体" w:hAnsi="宋体" w:eastAsia="宋体"/>
          <w:b w:val="0"/>
          <w:sz w:val="24"/>
        </w:rPr>
        <w:t>意向机构。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平台核心功能需求如下：</w:t>
      </w:r>
    </w:p>
    <w:p w14:paraId="5B1A037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平台总体技术要求</w:t>
      </w:r>
    </w:p>
    <w:p w14:paraId="49AAFC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 w:ascii="宋体" w:hAnsi="宋体" w:eastAsia="宋体"/>
          <w:b w:val="0"/>
          <w:sz w:val="24"/>
          <w:lang w:val="en-US" w:eastAsia="zh-CN"/>
        </w:rPr>
        <w:t>可接入多种模态数据及医学文献、指南等知识文件；具备精细化加工</w:t>
      </w:r>
      <w:r>
        <w:rPr>
          <w:rFonts w:hint="eastAsia" w:ascii="宋体" w:hAnsi="宋体"/>
          <w:b w:val="0"/>
          <w:sz w:val="24"/>
          <w:lang w:val="en-US" w:eastAsia="zh-CN"/>
        </w:rPr>
        <w:t>流程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（</w:t>
      </w:r>
      <w:r>
        <w:rPr>
          <w:rFonts w:hint="eastAsia" w:ascii="宋体" w:hAnsi="宋体"/>
          <w:b w:val="0"/>
          <w:sz w:val="24"/>
          <w:lang w:eastAsia="zh-CN"/>
        </w:rPr>
        <w:t>采集</w:t>
      </w:r>
      <w:r>
        <w:rPr>
          <w:rFonts w:ascii="宋体" w:hAnsi="宋体" w:eastAsia="宋体"/>
          <w:b w:val="0"/>
          <w:sz w:val="24"/>
        </w:rPr>
        <w:t>、汇聚、清洗、</w:t>
      </w:r>
      <w:r>
        <w:rPr>
          <w:rFonts w:hint="eastAsia" w:ascii="宋体" w:hAnsi="宋体"/>
          <w:b w:val="0"/>
          <w:sz w:val="24"/>
          <w:lang w:val="en-US" w:eastAsia="zh-CN"/>
        </w:rPr>
        <w:t>质检</w:t>
      </w:r>
      <w:r>
        <w:rPr>
          <w:rFonts w:hint="eastAsia" w:ascii="宋体" w:hAnsi="宋体"/>
          <w:b w:val="0"/>
          <w:sz w:val="24"/>
          <w:lang w:eastAsia="zh-CN"/>
        </w:rPr>
        <w:t>、</w:t>
      </w:r>
      <w:r>
        <w:rPr>
          <w:rFonts w:ascii="宋体" w:hAnsi="宋体" w:eastAsia="宋体"/>
          <w:b w:val="0"/>
          <w:sz w:val="24"/>
        </w:rPr>
        <w:t>脱敏</w:t>
      </w:r>
      <w:r>
        <w:rPr>
          <w:rFonts w:hint="eastAsia" w:ascii="宋体" w:hAnsi="宋体" w:eastAsia="宋体"/>
          <w:b w:val="0"/>
          <w:sz w:val="24"/>
          <w:lang w:eastAsia="zh-CN"/>
        </w:rPr>
        <w:t>、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标注</w:t>
      </w:r>
      <w:r>
        <w:rPr>
          <w:rFonts w:hint="eastAsia" w:ascii="宋体" w:hAnsi="宋体"/>
          <w:b w:val="0"/>
          <w:sz w:val="24"/>
          <w:lang w:val="en-US" w:eastAsia="zh-CN"/>
        </w:rPr>
        <w:t>、封装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等）、</w:t>
      </w:r>
      <w:r>
        <w:rPr>
          <w:rFonts w:hint="eastAsia" w:ascii="宋体" w:hAnsi="宋体"/>
          <w:b w:val="0"/>
          <w:sz w:val="24"/>
          <w:lang w:val="en-US" w:eastAsia="zh-CN"/>
        </w:rPr>
        <w:t>具有丰富的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数据集加工生产工具链；标注规则遵循 ICD-10、SNOMED CT、LOINC及国家医疗健康数据相关标准并支持自定义配置；工具链统一登记管理，版本可控、按权限使用，使用留痕可查，避免重复建设</w:t>
      </w:r>
      <w:r>
        <w:rPr>
          <w:rFonts w:hint="eastAsia" w:ascii="宋体" w:hAnsi="宋体" w:eastAsia="宋体"/>
          <w:b w:val="0"/>
          <w:sz w:val="24"/>
        </w:rPr>
        <w:t>。</w:t>
      </w:r>
    </w:p>
    <w:p w14:paraId="46CE1C8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多源医疗数据</w:t>
      </w:r>
      <w:r>
        <w:rPr>
          <w:rFonts w:hint="eastAsia" w:ascii="黑体" w:hAnsi="黑体" w:eastAsia="黑体"/>
          <w:b/>
          <w:sz w:val="24"/>
          <w:highlight w:val="none"/>
          <w:lang w:val="en-US" w:eastAsia="zh-CN"/>
        </w:rPr>
        <w:t>采集</w:t>
      </w:r>
    </w:p>
    <w:p w14:paraId="03693300">
      <w:pPr>
        <w:spacing w:line="360" w:lineRule="auto"/>
        <w:ind w:firstLine="480"/>
      </w:pPr>
      <w:r>
        <w:rPr>
          <w:rFonts w:hint="eastAsia" w:ascii="宋体" w:hAnsi="宋体" w:eastAsia="宋体"/>
          <w:b w:val="0"/>
          <w:sz w:val="24"/>
          <w:lang w:eastAsia="zh-CN"/>
        </w:rPr>
        <w:t>基于数据湖仓，</w:t>
      </w:r>
      <w:r>
        <w:rPr>
          <w:rFonts w:ascii="宋体" w:hAnsi="宋体" w:eastAsia="宋体"/>
          <w:b w:val="0"/>
          <w:sz w:val="24"/>
        </w:rPr>
        <w:t>统一</w:t>
      </w:r>
      <w:r>
        <w:rPr>
          <w:rFonts w:hint="eastAsia" w:ascii="宋体" w:hAnsi="宋体"/>
          <w:b w:val="0"/>
          <w:sz w:val="24"/>
          <w:lang w:val="en-US" w:eastAsia="zh-CN"/>
        </w:rPr>
        <w:t>收集</w:t>
      </w:r>
      <w:r>
        <w:rPr>
          <w:rFonts w:ascii="宋体" w:hAnsi="宋体" w:eastAsia="宋体"/>
          <w:b w:val="0"/>
          <w:sz w:val="24"/>
        </w:rPr>
        <w:t>院内病历、检验检查、影像、病理、心电等临床数据，覆盖结构化数据</w:t>
      </w:r>
      <w:r>
        <w:rPr>
          <w:rFonts w:hint="eastAsia" w:ascii="宋体" w:hAnsi="宋体"/>
          <w:b w:val="0"/>
          <w:sz w:val="24"/>
          <w:lang w:eastAsia="zh-CN"/>
        </w:rPr>
        <w:t>，以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及</w:t>
      </w:r>
      <w:r>
        <w:rPr>
          <w:rFonts w:ascii="宋体" w:hAnsi="宋体" w:eastAsia="宋体"/>
          <w:b w:val="0"/>
          <w:sz w:val="24"/>
        </w:rPr>
        <w:t>文本</w:t>
      </w:r>
      <w:r>
        <w:rPr>
          <w:rFonts w:hint="eastAsia" w:ascii="宋体" w:hAnsi="宋体" w:eastAsia="宋体"/>
          <w:b w:val="0"/>
          <w:sz w:val="24"/>
          <w:lang w:eastAsia="zh-CN"/>
        </w:rPr>
        <w:t>、</w:t>
      </w:r>
      <w:r>
        <w:rPr>
          <w:rFonts w:ascii="宋体" w:hAnsi="宋体" w:eastAsia="宋体"/>
          <w:b w:val="0"/>
          <w:sz w:val="24"/>
        </w:rPr>
        <w:t>影像等</w:t>
      </w:r>
      <w:r>
        <w:rPr>
          <w:rFonts w:hint="eastAsia" w:ascii="宋体" w:hAnsi="宋体" w:eastAsia="宋体"/>
          <w:b w:val="0"/>
          <w:sz w:val="24"/>
          <w:lang w:eastAsia="zh-CN"/>
        </w:rPr>
        <w:t>多模态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非结构化数据</w:t>
      </w:r>
      <w:r>
        <w:rPr>
          <w:rFonts w:ascii="宋体" w:hAnsi="宋体" w:eastAsia="宋体"/>
          <w:b w:val="0"/>
          <w:sz w:val="24"/>
        </w:rPr>
        <w:t>。</w:t>
      </w:r>
      <w:r>
        <w:rPr>
          <w:rFonts w:hint="eastAsia" w:ascii="宋体" w:hAnsi="宋体" w:eastAsia="宋体"/>
          <w:b w:val="0"/>
          <w:sz w:val="24"/>
          <w:lang w:eastAsia="zh-CN"/>
        </w:rPr>
        <w:t>可</w:t>
      </w:r>
      <w:r>
        <w:rPr>
          <w:rFonts w:ascii="宋体" w:hAnsi="宋体" w:eastAsia="宋体"/>
          <w:b w:val="0"/>
          <w:sz w:val="24"/>
        </w:rPr>
        <w:t>按机构、科室、病种、诊断、时间范围等条件灵活</w:t>
      </w:r>
      <w:r>
        <w:rPr>
          <w:rFonts w:hint="eastAsia" w:ascii="宋体" w:hAnsi="宋体"/>
          <w:b w:val="0"/>
          <w:sz w:val="24"/>
          <w:lang w:val="en-US" w:eastAsia="zh-CN"/>
        </w:rPr>
        <w:t>筛选纳排</w:t>
      </w:r>
      <w:r>
        <w:rPr>
          <w:rFonts w:ascii="宋体" w:hAnsi="宋体" w:eastAsia="宋体"/>
          <w:b w:val="0"/>
          <w:sz w:val="24"/>
        </w:rPr>
        <w:t>数据，</w:t>
      </w:r>
      <w:r>
        <w:rPr>
          <w:rFonts w:hint="eastAsia" w:ascii="宋体" w:hAnsi="宋体"/>
          <w:b w:val="0"/>
          <w:sz w:val="24"/>
          <w:lang w:eastAsia="zh-CN"/>
        </w:rPr>
        <w:t>采集</w:t>
      </w:r>
      <w:r>
        <w:rPr>
          <w:rFonts w:ascii="宋体" w:hAnsi="宋体" w:eastAsia="宋体"/>
          <w:b w:val="0"/>
          <w:sz w:val="24"/>
        </w:rPr>
        <w:t>过程保留数据之间的必要关联关系并进行完整性校验，实现医疗数据多来源、规范化、可追溯的汇聚接入。</w:t>
      </w:r>
    </w:p>
    <w:p w14:paraId="054472D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患者诊疗数据关联汇聚</w:t>
      </w:r>
    </w:p>
    <w:p w14:paraId="3E9BEE30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将同一患者在不同机构、不同就诊环节产生的数据关联汇聚，形成完整的患者诊疗全貌视图；实现影像、检查报告、病历文本等不同类型数据之间的相互对应，对无法可靠关联的异常数据进行提示并转入人工核对。全程记录数据来源和加工过程，上游数据变化时可识别受影响的下游数据，实现数据可查证、可追溯。</w:t>
      </w:r>
    </w:p>
    <w:p w14:paraId="5290DD4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医疗数据清洗与标准化</w:t>
      </w:r>
    </w:p>
    <w:p w14:paraId="35FBF001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对</w:t>
      </w:r>
      <w:r>
        <w:rPr>
          <w:rFonts w:hint="eastAsia" w:ascii="宋体" w:hAnsi="宋体"/>
          <w:b w:val="0"/>
          <w:sz w:val="24"/>
          <w:lang w:eastAsia="zh-CN"/>
        </w:rPr>
        <w:t>采集</w:t>
      </w:r>
      <w:r>
        <w:rPr>
          <w:rFonts w:ascii="宋体" w:hAnsi="宋体" w:eastAsia="宋体"/>
          <w:b w:val="0"/>
          <w:sz w:val="24"/>
        </w:rPr>
        <w:t>汇聚的数据进行质量检查和清洗加工，解决格式不统一、数据缺失、重复记录等常见问题；将诊断、手术、药品、检验检查等医学用语统一到标准术语；从病历文本中自动提取症状、诊断、用药等关键信息；对影像等检查文件进行完整性和一致性检查；按病种和诊疗过程整理患者全病程数据，形成患者队列和各类统计指标；按患者实际就诊过程归纳诊疗路径，分析不同患者在症状表现、诊疗节点、治疗方式和临床结局上的差异，形成反映真实临床实践差异的诊疗路径分型，为后续数据集生产提供规范、可用的数据基础。</w:t>
      </w:r>
    </w:p>
    <w:p w14:paraId="3F765E1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数据脱敏与隐私安全保护</w:t>
      </w:r>
    </w:p>
    <w:p w14:paraId="36735C86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自动根据数据用途</w:t>
      </w:r>
      <w:r>
        <w:rPr>
          <w:rFonts w:hint="eastAsia" w:ascii="宋体" w:hAnsi="宋体"/>
          <w:b w:val="0"/>
          <w:sz w:val="24"/>
          <w:lang w:val="en-US" w:eastAsia="zh-CN"/>
        </w:rPr>
        <w:t>对</w:t>
      </w:r>
      <w:r>
        <w:rPr>
          <w:rFonts w:ascii="宋体" w:hAnsi="宋体" w:eastAsia="宋体"/>
          <w:b w:val="0"/>
          <w:sz w:val="24"/>
        </w:rPr>
        <w:t>患者姓名、证件号码、联系电话、住址等个人隐私信息进行差异化脱敏处理，并在脱敏后进行复查校验，确保隐私信息去除干净后方可进入后续加工使用。按项目、人员角色和数据范围分级控制数据访问权限，数据的查看、使用和导出全程留痕审计，满足医疗数据安全和个人信息保护相关法律法规要求。</w:t>
      </w:r>
    </w:p>
    <w:p w14:paraId="1C56271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高</w:t>
      </w:r>
      <w:r>
        <w:rPr>
          <w:rFonts w:ascii="黑体" w:hAnsi="黑体" w:eastAsia="黑体"/>
          <w:b/>
          <w:sz w:val="24"/>
        </w:rPr>
        <w:t>质量数据集</w:t>
      </w:r>
      <w:r>
        <w:rPr>
          <w:rFonts w:hint="eastAsia" w:ascii="黑体" w:hAnsi="黑体" w:eastAsia="黑体"/>
          <w:b/>
          <w:sz w:val="24"/>
          <w:lang w:val="en-US" w:eastAsia="zh-CN"/>
        </w:rPr>
        <w:t>加工生产</w:t>
      </w:r>
    </w:p>
    <w:p w14:paraId="584D87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宋体" w:hAnsi="宋体" w:eastAsia="宋体" w:cs="宋体"/>
          <w:b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标注规则库遵循医学行业标准，覆盖核心标注类型，可提供规则自定义、全版本管控与成熟模板复用等功能。完成文本、影像、病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理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等多模态数据自动预标注以及跨模态内容对齐，产出对应类型数据集。自动产出大模型训练所需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初步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语料，包含预训练数据集、监督微调数据集（指令问答、思维链、长上下文、多轮对话等）、强化学习数据集、基准测试数据集等。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能对初步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语料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进行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质量甄别，达标之后进入人工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复核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标注环节；每一条样本能够回溯原始病例、参考文献以及完整生成过程</w:t>
      </w:r>
      <w:r>
        <w:rPr>
          <w:rFonts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，为临床诊疗规范、路径变异分析及医疗质量管控提供高可信度的数据</w:t>
      </w:r>
      <w:r>
        <w:rPr>
          <w:rFonts w:hint="eastAsia" w:ascii="Segoe UI" w:hAnsi="Segoe UI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支撑</w:t>
      </w:r>
      <w:r>
        <w:rPr>
          <w:rFonts w:ascii="Segoe UI" w:hAnsi="Segoe UI" w:eastAsia="Segoe UI" w:cs="Segoe UI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0D8AFDC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数据标注与专家审核</w:t>
      </w:r>
    </w:p>
    <w:p w14:paraId="6CD168B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/>
          <w:b w:val="0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sz w:val="24"/>
          <w:lang w:val="en-US" w:eastAsia="zh-CN"/>
        </w:rPr>
        <w:t>针对平台生成的数据集样本，</w:t>
      </w:r>
      <w:r>
        <w:rPr>
          <w:rFonts w:hint="eastAsia" w:ascii="宋体" w:hAnsi="宋体"/>
          <w:b w:val="0"/>
          <w:sz w:val="24"/>
          <w:lang w:val="en-US" w:eastAsia="zh-CN"/>
        </w:rPr>
        <w:t>可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由标注执行人员开展人工加工处理，并引入医学专家开展专业审核与质量把关。结合临床数据与大模型语料的生产特点，配套标准化标注模板，覆盖问答文本、医学影像勾画等多元化标注作业场景</w:t>
      </w:r>
      <w:r>
        <w:rPr>
          <w:rFonts w:hint="eastAsia" w:ascii="宋体" w:hAnsi="宋体"/>
          <w:b w:val="0"/>
          <w:sz w:val="24"/>
          <w:lang w:val="en-US" w:eastAsia="zh-CN"/>
        </w:rPr>
        <w:t>，供开展人工标注工作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。</w:t>
      </w:r>
    </w:p>
    <w:p w14:paraId="27822B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宋体" w:hAnsi="宋体" w:eastAsia="宋体"/>
          <w:b w:val="0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sz w:val="24"/>
          <w:lang w:val="en-US" w:eastAsia="zh-CN"/>
        </w:rPr>
        <w:t>针对高价值、易产生分歧的样本，可组织多名人员开展独立标注作业，比对多份标注结果开展一致性研判；针对标注结论存在重大分歧的样本，启动医学专家争议裁定流程，保障标注结果贴合临床真实情况、结论严谨可靠。业务过程中完成标注任务统筹分配、作业进度动态掌握、标注质量数据统计汇总，同时可吸纳外部标注团队共同参与项目作业，实现内外部人员协同开展数据集标注工作。</w:t>
      </w:r>
      <w:r>
        <w:rPr>
          <w:rFonts w:hint="eastAsia" w:ascii="宋体" w:hAnsi="宋体"/>
          <w:b w:val="0"/>
          <w:sz w:val="24"/>
          <w:lang w:val="en-US" w:eastAsia="zh-CN"/>
        </w:rPr>
        <w:t>平台能够对接一体化数据资源调度平台，将任务数据实时同步。</w:t>
      </w:r>
    </w:p>
    <w:p w14:paraId="758E2FC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数据集质量检查与评估</w:t>
      </w:r>
    </w:p>
    <w:p w14:paraId="23E62E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>数据集交付使用前进行质量检查，从安全合规、内容正确、格式规范、重复冗余等方面自动检测，并结合人工智能评分和医学专家抽样评审，形成数据集质量等级。质量不</w:t>
      </w:r>
      <w:r>
        <w:rPr>
          <w:rFonts w:hint="eastAsia" w:ascii="宋体" w:hAnsi="宋体"/>
          <w:b w:val="0"/>
          <w:sz w:val="24"/>
          <w:lang w:val="en-US" w:eastAsia="zh-CN"/>
        </w:rPr>
        <w:t>达标</w:t>
      </w:r>
      <w:r>
        <w:rPr>
          <w:rFonts w:ascii="宋体" w:hAnsi="宋体" w:eastAsia="宋体"/>
          <w:b w:val="0"/>
          <w:sz w:val="24"/>
        </w:rPr>
        <w:t>的数据集不得交付使用；检查评估结果形成质量报告，记录样本规模、检查维度、问题分布和评审结论，为数据集使用方提供质量依据。</w:t>
      </w:r>
    </w:p>
    <w:p w14:paraId="28D9DCA6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数据集封装与标准化交付</w:t>
      </w:r>
    </w:p>
    <w:p w14:paraId="6D8750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>将质量</w:t>
      </w:r>
      <w:r>
        <w:rPr>
          <w:rFonts w:hint="eastAsia" w:ascii="宋体" w:hAnsi="宋体"/>
          <w:b w:val="0"/>
          <w:sz w:val="24"/>
          <w:lang w:val="en-US" w:eastAsia="zh-CN"/>
        </w:rPr>
        <w:t>达标</w:t>
      </w:r>
      <w:r>
        <w:rPr>
          <w:rFonts w:ascii="宋体" w:hAnsi="宋体" w:eastAsia="宋体"/>
          <w:b w:val="0"/>
          <w:sz w:val="24"/>
        </w:rPr>
        <w:t>的数据集</w:t>
      </w:r>
      <w:r>
        <w:rPr>
          <w:rFonts w:hint="eastAsia" w:ascii="宋体" w:hAnsi="宋体"/>
          <w:b w:val="0"/>
          <w:sz w:val="24"/>
          <w:lang w:val="en-US" w:eastAsia="zh-CN"/>
        </w:rPr>
        <w:t>参照</w:t>
      </w:r>
      <w:r>
        <w:rPr>
          <w:rFonts w:ascii="宋体" w:hAnsi="宋体" w:eastAsia="宋体"/>
          <w:b w:val="0"/>
          <w:sz w:val="24"/>
        </w:rPr>
        <w:t>国家和行业相关标准打包封装，形成包含数据文件、说明文档、质量报告的标准化交付包</w:t>
      </w:r>
      <w:r>
        <w:rPr>
          <w:rFonts w:hint="eastAsia" w:ascii="宋体" w:hAnsi="宋体" w:eastAsia="宋体"/>
          <w:b w:val="0"/>
          <w:sz w:val="24"/>
          <w:lang w:eastAsia="zh-CN"/>
        </w:rPr>
        <w:t>。</w:t>
      </w:r>
      <w:r>
        <w:rPr>
          <w:rFonts w:ascii="宋体" w:hAnsi="宋体" w:eastAsia="宋体"/>
          <w:b w:val="0"/>
          <w:sz w:val="24"/>
        </w:rPr>
        <w:t>支持转换为主流人工智能训练所需的数据格式</w:t>
      </w:r>
      <w:r>
        <w:rPr>
          <w:rFonts w:hint="eastAsia" w:ascii="宋体" w:hAnsi="宋体"/>
          <w:b w:val="0"/>
          <w:sz w:val="24"/>
          <w:lang w:eastAsia="zh-CN"/>
        </w:rPr>
        <w:t>，</w:t>
      </w:r>
      <w:r>
        <w:rPr>
          <w:rFonts w:hint="eastAsia" w:ascii="宋体" w:hAnsi="宋体"/>
          <w:b w:val="0"/>
          <w:sz w:val="24"/>
          <w:lang w:val="en-US" w:eastAsia="zh-CN"/>
        </w:rPr>
        <w:t>兼容</w:t>
      </w:r>
      <w:r>
        <w:rPr>
          <w:rFonts w:ascii="宋体" w:hAnsi="宋体" w:eastAsia="宋体"/>
          <w:b w:val="0"/>
          <w:sz w:val="24"/>
        </w:rPr>
        <w:t>影像等大体量文件与数据集的配套交付</w:t>
      </w:r>
      <w:r>
        <w:rPr>
          <w:rFonts w:hint="eastAsia" w:ascii="宋体" w:hAnsi="宋体" w:eastAsia="宋体"/>
          <w:b w:val="0"/>
          <w:sz w:val="24"/>
          <w:lang w:eastAsia="zh-CN"/>
        </w:rPr>
        <w:t>。</w:t>
      </w:r>
      <w:r>
        <w:rPr>
          <w:rFonts w:ascii="宋体" w:hAnsi="宋体" w:eastAsia="宋体"/>
          <w:b w:val="0"/>
          <w:sz w:val="24"/>
        </w:rPr>
        <w:t>数据集按版本管理，每次更新生成新版本并保留历史版本，交付内容可查证、可复现、可追溯。</w:t>
      </w:r>
    </w:p>
    <w:p w14:paraId="313B8B2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数据集智能生产管理</w:t>
      </w:r>
    </w:p>
    <w:p w14:paraId="6030F337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将人工智能模型、加工工具和审核环节</w:t>
      </w:r>
      <w:r>
        <w:rPr>
          <w:rFonts w:hint="eastAsia" w:ascii="宋体" w:hAnsi="宋体"/>
          <w:b w:val="0"/>
          <w:sz w:val="24"/>
          <w:lang w:val="en-US" w:eastAsia="zh-CN"/>
        </w:rPr>
        <w:t>串联，搭建</w:t>
      </w:r>
      <w:r>
        <w:rPr>
          <w:rFonts w:ascii="宋体" w:hAnsi="宋体" w:eastAsia="宋体"/>
          <w:b w:val="0"/>
          <w:sz w:val="24"/>
        </w:rPr>
        <w:t>自动化数据集生产</w:t>
      </w:r>
      <w:r>
        <w:rPr>
          <w:rFonts w:hint="eastAsia" w:ascii="宋体" w:hAnsi="宋体"/>
          <w:b w:val="0"/>
          <w:sz w:val="24"/>
          <w:lang w:val="en-US" w:eastAsia="zh-CN"/>
        </w:rPr>
        <w:t>流水线</w:t>
      </w:r>
      <w:r>
        <w:rPr>
          <w:rFonts w:ascii="宋体" w:hAnsi="宋体" w:eastAsia="宋体"/>
          <w:b w:val="0"/>
          <w:sz w:val="24"/>
        </w:rPr>
        <w:t>，</w:t>
      </w:r>
      <w:r>
        <w:rPr>
          <w:rFonts w:hint="eastAsia" w:ascii="宋体" w:hAnsi="宋体"/>
          <w:b w:val="0"/>
          <w:sz w:val="24"/>
          <w:lang w:val="en-US" w:eastAsia="zh-CN"/>
        </w:rPr>
        <w:t>实现</w:t>
      </w:r>
      <w:r>
        <w:rPr>
          <w:rFonts w:ascii="宋体" w:hAnsi="宋体" w:eastAsia="宋体"/>
          <w:b w:val="0"/>
          <w:sz w:val="24"/>
        </w:rPr>
        <w:t>数据集</w:t>
      </w:r>
      <w:r>
        <w:rPr>
          <w:rFonts w:hint="eastAsia" w:ascii="宋体" w:hAnsi="宋体"/>
          <w:b w:val="0"/>
          <w:sz w:val="24"/>
          <w:lang w:val="en-US" w:eastAsia="zh-CN"/>
        </w:rPr>
        <w:t>规模化</w:t>
      </w:r>
      <w:r>
        <w:rPr>
          <w:rFonts w:ascii="宋体" w:hAnsi="宋体" w:eastAsia="宋体"/>
          <w:b w:val="0"/>
          <w:sz w:val="24"/>
        </w:rPr>
        <w:t>批量生产。生产流程</w:t>
      </w:r>
      <w:r>
        <w:rPr>
          <w:rFonts w:hint="eastAsia" w:ascii="宋体" w:hAnsi="宋体"/>
          <w:b w:val="0"/>
          <w:sz w:val="24"/>
          <w:lang w:val="en-US" w:eastAsia="zh-CN"/>
        </w:rPr>
        <w:t>通过</w:t>
      </w:r>
      <w:r>
        <w:rPr>
          <w:rFonts w:ascii="宋体" w:hAnsi="宋体" w:eastAsia="宋体"/>
          <w:b w:val="0"/>
          <w:sz w:val="24"/>
        </w:rPr>
        <w:t>小批量</w:t>
      </w:r>
      <w:bookmarkStart w:id="0" w:name="_GoBack"/>
      <w:bookmarkEnd w:id="0"/>
      <w:r>
        <w:rPr>
          <w:rFonts w:ascii="宋体" w:hAnsi="宋体" w:eastAsia="宋体"/>
          <w:b w:val="0"/>
          <w:sz w:val="24"/>
        </w:rPr>
        <w:t>试运行</w:t>
      </w:r>
      <w:r>
        <w:rPr>
          <w:rFonts w:hint="eastAsia" w:ascii="宋体" w:hAnsi="宋体"/>
          <w:b w:val="0"/>
          <w:sz w:val="24"/>
          <w:lang w:val="en-US" w:eastAsia="zh-CN"/>
        </w:rPr>
        <w:t>并</w:t>
      </w:r>
      <w:r>
        <w:rPr>
          <w:rFonts w:ascii="宋体" w:hAnsi="宋体" w:eastAsia="宋体"/>
          <w:b w:val="0"/>
          <w:sz w:val="24"/>
        </w:rPr>
        <w:t>验证效果后</w:t>
      </w:r>
      <w:r>
        <w:rPr>
          <w:rFonts w:hint="eastAsia" w:ascii="宋体" w:hAnsi="宋体"/>
          <w:b w:val="0"/>
          <w:sz w:val="24"/>
          <w:lang w:val="en-US" w:eastAsia="zh-CN"/>
        </w:rPr>
        <w:t>方可正式投入使用</w:t>
      </w:r>
      <w:r>
        <w:rPr>
          <w:rFonts w:ascii="宋体" w:hAnsi="宋体" w:eastAsia="宋体"/>
          <w:b w:val="0"/>
          <w:sz w:val="24"/>
        </w:rPr>
        <w:t>；生产过程可监控、可中断、可追溯；生产方案按版本管理，每次调整更新留痕可查，确保同一批数据的生产依据一致。</w:t>
      </w:r>
    </w:p>
    <w:p w14:paraId="36D3B39E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医学专家协同工作</w:t>
      </w:r>
    </w:p>
    <w:p w14:paraId="118DE5A4">
      <w:pPr>
        <w:spacing w:line="360" w:lineRule="auto"/>
        <w:ind w:firstLine="480"/>
      </w:pPr>
      <w:r>
        <w:rPr>
          <w:rFonts w:hint="eastAsia" w:ascii="宋体" w:hAnsi="宋体"/>
          <w:b w:val="0"/>
          <w:sz w:val="24"/>
          <w:lang w:val="en-US" w:eastAsia="zh-CN"/>
        </w:rPr>
        <w:t>调度管理</w:t>
      </w:r>
      <w:r>
        <w:rPr>
          <w:rFonts w:ascii="宋体" w:hAnsi="宋体" w:eastAsia="宋体"/>
          <w:b w:val="0"/>
          <w:sz w:val="24"/>
        </w:rPr>
        <w:t>医学专家</w:t>
      </w:r>
      <w:r>
        <w:rPr>
          <w:rFonts w:hint="eastAsia" w:ascii="宋体" w:hAnsi="宋体"/>
          <w:b w:val="0"/>
          <w:sz w:val="24"/>
          <w:lang w:val="en-US" w:eastAsia="zh-CN"/>
        </w:rPr>
        <w:t>参与</w:t>
      </w:r>
      <w:r>
        <w:rPr>
          <w:rFonts w:ascii="宋体" w:hAnsi="宋体" w:eastAsia="宋体"/>
          <w:b w:val="0"/>
          <w:sz w:val="24"/>
        </w:rPr>
        <w:t>数据审核、复核和争议裁定等工作，根据专家专长、资质等级和当前工作量自动推荐和分派任务，任务进度与办理状态全程可查。专家对分歧内容作出裁定，各方意见完整保留、互不覆盖；自动统计专家工作量并导出结算依据。</w:t>
      </w:r>
    </w:p>
    <w:p w14:paraId="573D585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模型与专家资源管理</w:t>
      </w:r>
    </w:p>
    <w:p w14:paraId="77A625BD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统一管理数据集生产所需的各类人工智能模型资源，登记模型用途和运行状态，提供在线测试，模型异常时及时提示受影响的生产任务；数据生产所用的人工智能指令模板统一管理、版本可控。统一管理参与生产的医学专家资源，建立专家资质审核、能力测评、等级管理和培训练习机制，确保承担标注、审核等任务的专家具备相应能力，专家使用权限按任务单独授权。</w:t>
      </w:r>
    </w:p>
    <w:p w14:paraId="233764C5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黑体" w:hAnsi="黑体" w:eastAsia="黑体"/>
          <w:b/>
          <w:sz w:val="24"/>
          <w:lang w:val="en-US" w:eastAsia="zh-CN"/>
        </w:rPr>
      </w:pPr>
      <w:r>
        <w:rPr>
          <w:rFonts w:hint="eastAsia" w:ascii="黑体" w:hAnsi="黑体" w:eastAsia="黑体"/>
          <w:b/>
          <w:sz w:val="24"/>
          <w:lang w:val="en-US" w:eastAsia="zh-CN"/>
        </w:rPr>
        <w:t>数据集资产管理与授权共享</w:t>
      </w:r>
    </w:p>
    <w:p w14:paraId="2ADD9528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将建成的高质量数据集作为医院数据资产统一登记入库，按用途、病种主题、数据类型分类管理，形成医院数据集资产目录；提供检索和预览，方便业务科室发现和了解所需数据集。使用数据集须在线申请、按用途和期限审批授权，遵循最小必要原则；支持受控下载和接口调用等交付方式；数据集更新、状态变化或授权到期时自动通知相关使用方；资产使用全程审计，数据集从来源、加工到交付、使用的全过程可追溯。</w:t>
      </w:r>
    </w:p>
    <w:p w14:paraId="4E195A90">
      <w:pPr>
        <w:spacing w:line="360" w:lineRule="auto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709" w:hanging="709"/>
      </w:pPr>
      <w:rPr>
        <w:rFonts w:hint="default"/>
        <w:b/>
        <w:bCs/>
      </w:rPr>
    </w:lvl>
    <w:lvl w:ilvl="3" w:tentative="0">
      <w:start w:val="1"/>
      <w:numFmt w:val="decimal"/>
      <w:suff w:val="space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9610D"/>
    <w:rsid w:val="25727659"/>
    <w:rsid w:val="347B0925"/>
    <w:rsid w:val="383218F5"/>
    <w:rsid w:val="38C36235"/>
    <w:rsid w:val="4B57511D"/>
    <w:rsid w:val="5418797C"/>
    <w:rsid w:val="5E973986"/>
    <w:rsid w:val="5EEC14DA"/>
    <w:rsid w:val="67691A21"/>
    <w:rsid w:val="6D3E6D68"/>
    <w:rsid w:val="74B62127"/>
    <w:rsid w:val="7588540F"/>
    <w:rsid w:val="7689645A"/>
    <w:rsid w:val="7847320F"/>
    <w:rsid w:val="7CD45219"/>
    <w:rsid w:val="7D57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2728</Words>
  <Characters>2745</Characters>
  <Paragraphs>31</Paragraphs>
  <TotalTime>11</TotalTime>
  <ScaleCrop>false</ScaleCrop>
  <LinksUpToDate>false</LinksUpToDate>
  <CharactersWithSpaces>2747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2026-09-21T07:11:00Z</dcterms:created>
  <dc:creator>张新颖</dc:creator>
  <cp:lastModifiedBy>张新颖</cp:lastModifiedBy>
  <dcterms:modified xsi:type="dcterms:W3CDTF">2026-09-22T09:16:05Z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FB43B7033B5741F69FD6BCF284E16CED_13</vt:lpwstr>
  </property>
  <property fmtid="{D5CDD505-2E9C-101B-9397-08002B2CF9AE}" pid="4" name="KSOTemplateDocerSaveRecord">
    <vt:lpwstr>eyJoZGlkIjoiZjcwNmE3MDVmZmE4YjMzZTIwY2Y1MjViNjAzYzJmN2UiLCJ1c2VySWQiOiIxNzIwNzc2Njc1In0=</vt:lpwstr>
  </property>
</Properties>
</file>