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1304"/>
      <w:bookmarkStart w:id="2" w:name="_Toc76373863"/>
      <w:bookmarkStart w:id="3" w:name="_Toc31066"/>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- 7 -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- 9 -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- 9 -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- 9 -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- 9 -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- 9 -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- 10 -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- 12 -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- 15 -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- 16 -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- 18 -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- 22 -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76373864"/>
      <w:bookmarkStart w:id="9" w:name="_Toc28264"/>
      <w:bookmarkStart w:id="10" w:name="_Toc22435"/>
      <w:bookmarkStart w:id="11" w:name="_Toc15376"/>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4D681785">
      <w:pPr>
        <w:widowControl/>
        <w:spacing w:line="400" w:lineRule="exact"/>
        <w:ind w:firstLine="480" w:firstLineChars="200"/>
        <w:rPr>
          <w:rFonts w:hint="eastAsia" w:ascii="Segoe UI" w:hAnsi="Segoe UI" w:eastAsia="Segoe UI" w:cs="Segoe UI"/>
          <w:sz w:val="22"/>
          <w:szCs w:val="22"/>
          <w:lang w:val="en-US" w:eastAsia="zh-CN" w:bidi="ar-SA"/>
        </w:rPr>
      </w:pPr>
      <w:r>
        <w:rPr>
          <w:rFonts w:hint="eastAsia" w:ascii="宋体" w:hAnsi="宋体" w:cs="宋体"/>
          <w:color w:val="auto"/>
          <w:sz w:val="24"/>
          <w:szCs w:val="24"/>
        </w:rPr>
        <w:t>项目名称：</w:t>
      </w:r>
      <w:r>
        <w:rPr>
          <w:rFonts w:hint="default" w:ascii="宋体" w:hAnsi="宋体" w:cs="宋体"/>
          <w:color w:val="auto"/>
          <w:sz w:val="24"/>
          <w:szCs w:val="24"/>
          <w:lang w:val="en-US" w:eastAsia="zh-CN"/>
        </w:rPr>
        <w:t>乙型肝炎病毒核心抗体检测试剂盒(酶联免疫法）</w:t>
      </w:r>
      <w:r>
        <w:rPr>
          <w:rFonts w:hint="eastAsia" w:ascii="宋体" w:hAnsi="宋体" w:cs="宋体"/>
          <w:color w:val="auto"/>
          <w:sz w:val="24"/>
          <w:szCs w:val="24"/>
          <w:lang w:val="en-US" w:eastAsia="zh-CN"/>
        </w:rPr>
        <w:t>、</w:t>
      </w:r>
      <w:r>
        <w:rPr>
          <w:rFonts w:hint="default" w:ascii="宋体" w:hAnsi="宋体" w:cs="宋体"/>
          <w:color w:val="auto"/>
          <w:sz w:val="24"/>
          <w:szCs w:val="24"/>
          <w:lang w:val="en-US" w:eastAsia="zh-CN"/>
        </w:rPr>
        <w:t>乙型肝炎病毒e抗体检测试剂盒（酶联免疫法））</w:t>
      </w:r>
      <w:r>
        <w:rPr>
          <w:rFonts w:hint="eastAsia" w:ascii="宋体" w:hAnsi="宋体" w:cs="宋体"/>
          <w:color w:val="auto"/>
          <w:sz w:val="24"/>
          <w:szCs w:val="24"/>
          <w:lang w:val="en-US" w:eastAsia="zh-CN"/>
        </w:rPr>
        <w:t>、</w:t>
      </w:r>
      <w:r>
        <w:rPr>
          <w:rFonts w:hint="default" w:ascii="宋体" w:hAnsi="宋体" w:cs="宋体"/>
          <w:color w:val="auto"/>
          <w:sz w:val="24"/>
          <w:szCs w:val="24"/>
          <w:lang w:val="en-US" w:eastAsia="zh-CN"/>
        </w:rPr>
        <w:t>乙型肝炎病毒e抗原检测试剂盒（酶联免疫法））</w:t>
      </w:r>
      <w:r>
        <w:rPr>
          <w:rFonts w:hint="eastAsia" w:ascii="宋体" w:hAnsi="宋体" w:cs="宋体"/>
          <w:color w:val="auto"/>
          <w:sz w:val="24"/>
          <w:szCs w:val="24"/>
          <w:lang w:val="en-US" w:eastAsia="zh-CN"/>
        </w:rPr>
        <w:t>、</w:t>
      </w:r>
      <w:r>
        <w:rPr>
          <w:rFonts w:hint="default" w:ascii="宋体" w:hAnsi="宋体" w:cs="宋体"/>
          <w:color w:val="auto"/>
          <w:sz w:val="24"/>
          <w:szCs w:val="24"/>
          <w:lang w:val="en-US" w:eastAsia="zh-CN"/>
        </w:rPr>
        <w:t>乙型肝炎病毒表面抗体检测试剂盒（酶联免疫法）</w:t>
      </w:r>
      <w:r>
        <w:rPr>
          <w:rFonts w:hint="eastAsia" w:ascii="宋体" w:hAnsi="宋体" w:cs="宋体"/>
          <w:color w:val="auto"/>
          <w:sz w:val="24"/>
          <w:szCs w:val="24"/>
          <w:lang w:val="en-US" w:eastAsia="zh-CN"/>
        </w:rPr>
        <w:t>、</w:t>
      </w:r>
      <w:r>
        <w:rPr>
          <w:rFonts w:hint="default" w:ascii="宋体" w:hAnsi="宋体" w:cs="宋体"/>
          <w:color w:val="auto"/>
          <w:sz w:val="24"/>
          <w:szCs w:val="24"/>
          <w:lang w:val="en-US" w:eastAsia="zh-CN"/>
        </w:rPr>
        <w:t>戊型肝炎病毒IgM抗体检测试剂盒（酶联免疫法）</w:t>
      </w:r>
      <w:r>
        <w:rPr>
          <w:rFonts w:hint="eastAsia" w:ascii="宋体" w:hAnsi="宋体" w:cs="宋体"/>
          <w:color w:val="auto"/>
          <w:sz w:val="24"/>
          <w:szCs w:val="24"/>
          <w:lang w:val="en-US" w:eastAsia="zh-CN"/>
        </w:rPr>
        <w:t>、</w:t>
      </w:r>
      <w:r>
        <w:rPr>
          <w:rFonts w:hint="default" w:ascii="宋体" w:hAnsi="宋体" w:cs="宋体"/>
          <w:color w:val="auto"/>
          <w:sz w:val="24"/>
          <w:szCs w:val="24"/>
          <w:lang w:val="en-US" w:eastAsia="zh-CN"/>
        </w:rPr>
        <w:t>甲型肝炎病毒IgM抗体检测试剂盒（酶联免疫法））</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477"/>
        <w:gridCol w:w="1306"/>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707"/>
            <w:bookmarkStart w:id="15" w:name="_Toc5838"/>
            <w:bookmarkStart w:id="16" w:name="_Toc76373865"/>
            <w:bookmarkStart w:id="17" w:name="_Toc22129"/>
            <w:bookmarkStart w:id="18" w:name="_Toc18060"/>
            <w:r>
              <w:rPr>
                <w:rFonts w:hint="eastAsia" w:ascii="宋体" w:hAnsi="宋体" w:eastAsia="宋体" w:cs="宋体"/>
                <w:color w:val="auto"/>
                <w:kern w:val="2"/>
                <w:szCs w:val="24"/>
                <w:lang w:val="en-US" w:eastAsia="zh-CN"/>
              </w:rPr>
              <w:t>包号</w:t>
            </w:r>
          </w:p>
        </w:tc>
        <w:tc>
          <w:tcPr>
            <w:tcW w:w="2477"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306"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restart"/>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477" w:type="dxa"/>
            <w:shd w:val="clear" w:color="auto" w:fill="auto"/>
            <w:noWrap w:val="0"/>
            <w:vAlign w:val="center"/>
          </w:tcPr>
          <w:p w14:paraId="4D436421">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乙型肝炎病毒核心抗体检测试剂盒(酶联免疫法）</w:t>
            </w:r>
          </w:p>
        </w:tc>
        <w:tc>
          <w:tcPr>
            <w:tcW w:w="1306" w:type="dxa"/>
            <w:vMerge w:val="restart"/>
            <w:shd w:val="clear" w:color="auto" w:fill="auto"/>
            <w:noWrap w:val="0"/>
            <w:vAlign w:val="center"/>
          </w:tcPr>
          <w:p w14:paraId="2F07C2BA">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按实结算</w:t>
            </w:r>
          </w:p>
        </w:tc>
        <w:tc>
          <w:tcPr>
            <w:tcW w:w="1594" w:type="dxa"/>
            <w:vMerge w:val="restart"/>
            <w:shd w:val="clear" w:color="auto" w:fill="auto"/>
            <w:noWrap w:val="0"/>
            <w:vAlign w:val="center"/>
          </w:tcPr>
          <w:p w14:paraId="5CA2B908">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w:t>
            </w:r>
          </w:p>
        </w:tc>
        <w:tc>
          <w:tcPr>
            <w:tcW w:w="1594" w:type="dxa"/>
            <w:vMerge w:val="restart"/>
            <w:shd w:val="clear" w:color="auto" w:fill="auto"/>
            <w:noWrap w:val="0"/>
            <w:vAlign w:val="center"/>
          </w:tcPr>
          <w:p w14:paraId="564BDA5D">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感染科实验室</w:t>
            </w:r>
          </w:p>
        </w:tc>
      </w:tr>
      <w:tr w14:paraId="3D5E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6DB6A50A">
            <w:pPr>
              <w:widowControl/>
              <w:spacing w:line="400" w:lineRule="exact"/>
              <w:jc w:val="center"/>
              <w:rPr>
                <w:rFonts w:hint="eastAsia" w:ascii="宋体" w:hAnsi="宋体" w:cs="宋体"/>
                <w:color w:val="auto"/>
                <w:sz w:val="24"/>
                <w:szCs w:val="24"/>
                <w:lang w:val="en-US" w:eastAsia="zh-CN"/>
              </w:rPr>
            </w:pPr>
          </w:p>
        </w:tc>
        <w:tc>
          <w:tcPr>
            <w:tcW w:w="2477" w:type="dxa"/>
            <w:shd w:val="clear" w:color="auto" w:fill="auto"/>
            <w:noWrap w:val="0"/>
            <w:vAlign w:val="center"/>
          </w:tcPr>
          <w:p w14:paraId="080B3397">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乙型肝炎病毒e抗体检测试剂盒（酶联免疫法））</w:t>
            </w:r>
          </w:p>
        </w:tc>
        <w:tc>
          <w:tcPr>
            <w:tcW w:w="1306" w:type="dxa"/>
            <w:vMerge w:val="continue"/>
            <w:tcBorders/>
            <w:shd w:val="clear" w:color="auto" w:fill="auto"/>
            <w:noWrap w:val="0"/>
            <w:vAlign w:val="center"/>
          </w:tcPr>
          <w:p w14:paraId="5504B2AD">
            <w:pPr>
              <w:widowControl/>
              <w:spacing w:line="400" w:lineRule="exact"/>
              <w:jc w:val="center"/>
              <w:rPr>
                <w:rFonts w:hint="eastAsia" w:ascii="宋体" w:hAnsi="宋体" w:cs="宋体"/>
                <w:color w:val="auto"/>
                <w:sz w:val="24"/>
                <w:szCs w:val="24"/>
                <w:lang w:val="en-US" w:eastAsia="zh-CN"/>
              </w:rPr>
            </w:pPr>
          </w:p>
        </w:tc>
        <w:tc>
          <w:tcPr>
            <w:tcW w:w="1594" w:type="dxa"/>
            <w:vMerge w:val="continue"/>
            <w:tcBorders/>
            <w:shd w:val="clear" w:color="auto" w:fill="auto"/>
            <w:noWrap w:val="0"/>
            <w:vAlign w:val="center"/>
          </w:tcPr>
          <w:p w14:paraId="27621069">
            <w:pPr>
              <w:widowControl/>
              <w:spacing w:line="400" w:lineRule="exact"/>
              <w:jc w:val="center"/>
              <w:rPr>
                <w:rFonts w:hint="eastAsia" w:ascii="宋体" w:hAnsi="宋体" w:cs="宋体"/>
                <w:color w:val="auto"/>
                <w:sz w:val="24"/>
                <w:szCs w:val="24"/>
                <w:lang w:val="en-US" w:eastAsia="zh-CN"/>
              </w:rPr>
            </w:pPr>
          </w:p>
        </w:tc>
        <w:tc>
          <w:tcPr>
            <w:tcW w:w="1594" w:type="dxa"/>
            <w:vMerge w:val="continue"/>
            <w:shd w:val="clear" w:color="auto" w:fill="auto"/>
            <w:noWrap w:val="0"/>
            <w:vAlign w:val="center"/>
          </w:tcPr>
          <w:p w14:paraId="3231792A">
            <w:pPr>
              <w:widowControl/>
              <w:spacing w:line="400" w:lineRule="exact"/>
              <w:jc w:val="center"/>
              <w:rPr>
                <w:rFonts w:hint="eastAsia" w:ascii="宋体" w:hAnsi="宋体" w:cs="宋体"/>
                <w:color w:val="auto"/>
                <w:sz w:val="24"/>
                <w:szCs w:val="24"/>
                <w:lang w:val="en-US" w:eastAsia="zh-CN"/>
              </w:rPr>
            </w:pPr>
          </w:p>
        </w:tc>
      </w:tr>
      <w:tr w14:paraId="477C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56024B02">
            <w:pPr>
              <w:widowControl/>
              <w:spacing w:line="400" w:lineRule="exact"/>
              <w:jc w:val="center"/>
              <w:rPr>
                <w:rFonts w:hint="eastAsia" w:ascii="宋体" w:hAnsi="宋体" w:cs="宋体"/>
                <w:color w:val="auto"/>
                <w:sz w:val="24"/>
                <w:szCs w:val="24"/>
                <w:lang w:val="en-US" w:eastAsia="zh-CN"/>
              </w:rPr>
            </w:pPr>
          </w:p>
        </w:tc>
        <w:tc>
          <w:tcPr>
            <w:tcW w:w="2477" w:type="dxa"/>
            <w:shd w:val="clear" w:color="auto" w:fill="auto"/>
            <w:noWrap w:val="0"/>
            <w:vAlign w:val="center"/>
          </w:tcPr>
          <w:p w14:paraId="190452EC">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乙型肝炎病毒e抗原检测试剂盒（酶联免疫法））</w:t>
            </w:r>
          </w:p>
        </w:tc>
        <w:tc>
          <w:tcPr>
            <w:tcW w:w="1306" w:type="dxa"/>
            <w:vMerge w:val="continue"/>
            <w:tcBorders/>
            <w:shd w:val="clear" w:color="auto" w:fill="auto"/>
            <w:noWrap w:val="0"/>
            <w:vAlign w:val="center"/>
          </w:tcPr>
          <w:p w14:paraId="63D0824A">
            <w:pPr>
              <w:widowControl/>
              <w:spacing w:line="400" w:lineRule="exact"/>
              <w:jc w:val="center"/>
              <w:rPr>
                <w:rFonts w:hint="eastAsia" w:ascii="宋体" w:hAnsi="宋体" w:cs="宋体"/>
                <w:color w:val="auto"/>
                <w:sz w:val="24"/>
                <w:szCs w:val="24"/>
                <w:lang w:val="en-US" w:eastAsia="zh-CN"/>
              </w:rPr>
            </w:pPr>
          </w:p>
        </w:tc>
        <w:tc>
          <w:tcPr>
            <w:tcW w:w="1594" w:type="dxa"/>
            <w:vMerge w:val="continue"/>
            <w:tcBorders/>
            <w:shd w:val="clear" w:color="auto" w:fill="auto"/>
            <w:noWrap w:val="0"/>
            <w:vAlign w:val="center"/>
          </w:tcPr>
          <w:p w14:paraId="710CC63F">
            <w:pPr>
              <w:widowControl/>
              <w:spacing w:line="400" w:lineRule="exact"/>
              <w:jc w:val="center"/>
              <w:rPr>
                <w:rFonts w:hint="eastAsia" w:ascii="宋体" w:hAnsi="宋体" w:cs="宋体"/>
                <w:color w:val="auto"/>
                <w:sz w:val="24"/>
                <w:szCs w:val="24"/>
                <w:lang w:val="en-US" w:eastAsia="zh-CN"/>
              </w:rPr>
            </w:pPr>
          </w:p>
        </w:tc>
        <w:tc>
          <w:tcPr>
            <w:tcW w:w="1594" w:type="dxa"/>
            <w:vMerge w:val="continue"/>
            <w:shd w:val="clear" w:color="auto" w:fill="auto"/>
            <w:noWrap w:val="0"/>
            <w:vAlign w:val="center"/>
          </w:tcPr>
          <w:p w14:paraId="4D722D42">
            <w:pPr>
              <w:widowControl/>
              <w:spacing w:line="400" w:lineRule="exact"/>
              <w:jc w:val="center"/>
              <w:rPr>
                <w:rFonts w:hint="eastAsia" w:ascii="宋体" w:hAnsi="宋体" w:cs="宋体"/>
                <w:color w:val="auto"/>
                <w:sz w:val="24"/>
                <w:szCs w:val="24"/>
                <w:lang w:val="en-US" w:eastAsia="zh-CN"/>
              </w:rPr>
            </w:pPr>
          </w:p>
        </w:tc>
      </w:tr>
      <w:tr w14:paraId="6AD5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5B582ED9">
            <w:pPr>
              <w:widowControl/>
              <w:spacing w:line="400" w:lineRule="exact"/>
              <w:jc w:val="center"/>
              <w:rPr>
                <w:rFonts w:hint="eastAsia" w:ascii="宋体" w:hAnsi="宋体" w:cs="宋体"/>
                <w:color w:val="auto"/>
                <w:sz w:val="24"/>
                <w:szCs w:val="24"/>
                <w:lang w:val="en-US" w:eastAsia="zh-CN"/>
              </w:rPr>
            </w:pPr>
          </w:p>
        </w:tc>
        <w:tc>
          <w:tcPr>
            <w:tcW w:w="2477" w:type="dxa"/>
            <w:shd w:val="clear" w:color="auto" w:fill="auto"/>
            <w:noWrap w:val="0"/>
            <w:vAlign w:val="center"/>
          </w:tcPr>
          <w:p w14:paraId="354BAA61">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乙型肝炎病毒表面抗体检测试剂盒（酶联免疫法）</w:t>
            </w:r>
          </w:p>
        </w:tc>
        <w:tc>
          <w:tcPr>
            <w:tcW w:w="1306" w:type="dxa"/>
            <w:vMerge w:val="continue"/>
            <w:tcBorders/>
            <w:shd w:val="clear" w:color="auto" w:fill="auto"/>
            <w:noWrap w:val="0"/>
            <w:vAlign w:val="center"/>
          </w:tcPr>
          <w:p w14:paraId="725F6977">
            <w:pPr>
              <w:widowControl/>
              <w:spacing w:line="400" w:lineRule="exact"/>
              <w:jc w:val="center"/>
              <w:rPr>
                <w:rFonts w:hint="eastAsia" w:ascii="宋体" w:hAnsi="宋体" w:cs="宋体"/>
                <w:color w:val="auto"/>
                <w:sz w:val="24"/>
                <w:szCs w:val="24"/>
                <w:lang w:val="en-US" w:eastAsia="zh-CN"/>
              </w:rPr>
            </w:pPr>
          </w:p>
        </w:tc>
        <w:tc>
          <w:tcPr>
            <w:tcW w:w="1594" w:type="dxa"/>
            <w:vMerge w:val="continue"/>
            <w:tcBorders/>
            <w:shd w:val="clear" w:color="auto" w:fill="auto"/>
            <w:noWrap w:val="0"/>
            <w:vAlign w:val="center"/>
          </w:tcPr>
          <w:p w14:paraId="5F86BB75">
            <w:pPr>
              <w:widowControl/>
              <w:spacing w:line="400" w:lineRule="exact"/>
              <w:jc w:val="center"/>
              <w:rPr>
                <w:rFonts w:hint="eastAsia" w:ascii="宋体" w:hAnsi="宋体" w:cs="宋体"/>
                <w:color w:val="auto"/>
                <w:sz w:val="24"/>
                <w:szCs w:val="24"/>
                <w:lang w:val="en-US" w:eastAsia="zh-CN"/>
              </w:rPr>
            </w:pPr>
          </w:p>
        </w:tc>
        <w:tc>
          <w:tcPr>
            <w:tcW w:w="1594" w:type="dxa"/>
            <w:vMerge w:val="continue"/>
            <w:shd w:val="clear" w:color="auto" w:fill="auto"/>
            <w:noWrap w:val="0"/>
            <w:vAlign w:val="center"/>
          </w:tcPr>
          <w:p w14:paraId="709E8678">
            <w:pPr>
              <w:widowControl/>
              <w:spacing w:line="400" w:lineRule="exact"/>
              <w:jc w:val="center"/>
              <w:rPr>
                <w:rFonts w:hint="eastAsia" w:ascii="宋体" w:hAnsi="宋体" w:cs="宋体"/>
                <w:color w:val="auto"/>
                <w:sz w:val="24"/>
                <w:szCs w:val="24"/>
                <w:lang w:val="en-US" w:eastAsia="zh-CN"/>
              </w:rPr>
            </w:pPr>
          </w:p>
        </w:tc>
      </w:tr>
      <w:tr w14:paraId="688E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254613C7">
            <w:pPr>
              <w:widowControl/>
              <w:spacing w:line="400" w:lineRule="exact"/>
              <w:jc w:val="center"/>
              <w:rPr>
                <w:rFonts w:hint="default" w:ascii="宋体" w:hAnsi="宋体" w:cs="宋体"/>
                <w:color w:val="auto"/>
                <w:sz w:val="24"/>
                <w:szCs w:val="24"/>
                <w:lang w:val="en-US" w:eastAsia="zh-CN"/>
              </w:rPr>
            </w:pPr>
          </w:p>
        </w:tc>
        <w:tc>
          <w:tcPr>
            <w:tcW w:w="2477" w:type="dxa"/>
            <w:shd w:val="clear" w:color="auto" w:fill="auto"/>
            <w:noWrap w:val="0"/>
            <w:vAlign w:val="center"/>
          </w:tcPr>
          <w:p w14:paraId="407902E4">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戊型肝炎病毒IgM抗体检测试剂盒（酶联免疫法）</w:t>
            </w:r>
          </w:p>
        </w:tc>
        <w:tc>
          <w:tcPr>
            <w:tcW w:w="1306" w:type="dxa"/>
            <w:vMerge w:val="continue"/>
            <w:tcBorders/>
            <w:shd w:val="clear" w:color="auto" w:fill="auto"/>
            <w:noWrap w:val="0"/>
            <w:vAlign w:val="center"/>
          </w:tcPr>
          <w:p w14:paraId="4022537E">
            <w:pPr>
              <w:widowControl/>
              <w:spacing w:line="400" w:lineRule="exact"/>
              <w:jc w:val="center"/>
              <w:rPr>
                <w:rFonts w:hint="eastAsia" w:ascii="宋体" w:hAnsi="宋体" w:cs="宋体"/>
                <w:color w:val="auto"/>
                <w:sz w:val="24"/>
                <w:szCs w:val="24"/>
                <w:lang w:val="en-US" w:eastAsia="zh-CN"/>
              </w:rPr>
            </w:pPr>
          </w:p>
        </w:tc>
        <w:tc>
          <w:tcPr>
            <w:tcW w:w="1594" w:type="dxa"/>
            <w:vMerge w:val="continue"/>
            <w:tcBorders/>
            <w:shd w:val="clear" w:color="auto" w:fill="auto"/>
            <w:noWrap w:val="0"/>
            <w:vAlign w:val="center"/>
          </w:tcPr>
          <w:p w14:paraId="178CCF43">
            <w:pPr>
              <w:widowControl/>
              <w:spacing w:line="400" w:lineRule="exact"/>
              <w:jc w:val="center"/>
              <w:rPr>
                <w:rFonts w:hint="eastAsia" w:ascii="宋体" w:hAnsi="宋体" w:cs="宋体"/>
                <w:color w:val="auto"/>
                <w:sz w:val="24"/>
                <w:szCs w:val="24"/>
                <w:lang w:val="en-US" w:eastAsia="zh-CN"/>
              </w:rPr>
            </w:pPr>
          </w:p>
        </w:tc>
        <w:tc>
          <w:tcPr>
            <w:tcW w:w="1594" w:type="dxa"/>
            <w:vMerge w:val="continue"/>
            <w:shd w:val="clear" w:color="auto" w:fill="auto"/>
            <w:noWrap w:val="0"/>
            <w:vAlign w:val="center"/>
          </w:tcPr>
          <w:p w14:paraId="7DE56320">
            <w:pPr>
              <w:widowControl/>
              <w:spacing w:line="400" w:lineRule="exact"/>
              <w:jc w:val="center"/>
              <w:rPr>
                <w:rFonts w:hint="eastAsia" w:ascii="宋体" w:hAnsi="宋体" w:cs="宋体"/>
                <w:color w:val="auto"/>
                <w:sz w:val="24"/>
                <w:szCs w:val="24"/>
                <w:lang w:val="en-US" w:eastAsia="zh-CN"/>
              </w:rPr>
            </w:pPr>
          </w:p>
        </w:tc>
      </w:tr>
      <w:tr w14:paraId="3D75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7B700EF7">
            <w:pPr>
              <w:widowControl/>
              <w:spacing w:line="400" w:lineRule="exact"/>
              <w:jc w:val="center"/>
              <w:rPr>
                <w:rFonts w:hint="default" w:ascii="宋体" w:hAnsi="宋体" w:cs="宋体"/>
                <w:color w:val="auto"/>
                <w:sz w:val="24"/>
                <w:szCs w:val="24"/>
                <w:lang w:val="en-US" w:eastAsia="zh-CN"/>
              </w:rPr>
            </w:pPr>
          </w:p>
        </w:tc>
        <w:tc>
          <w:tcPr>
            <w:tcW w:w="2477" w:type="dxa"/>
            <w:shd w:val="clear" w:color="auto" w:fill="auto"/>
            <w:noWrap w:val="0"/>
            <w:vAlign w:val="center"/>
          </w:tcPr>
          <w:p w14:paraId="1A31F34C">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甲型肝炎病毒IgM抗体检测试剂盒（酶联免疫法））</w:t>
            </w:r>
          </w:p>
        </w:tc>
        <w:tc>
          <w:tcPr>
            <w:tcW w:w="1306" w:type="dxa"/>
            <w:vMerge w:val="continue"/>
            <w:tcBorders/>
            <w:shd w:val="clear" w:color="auto" w:fill="auto"/>
            <w:noWrap w:val="0"/>
            <w:vAlign w:val="center"/>
          </w:tcPr>
          <w:p w14:paraId="4D44E3CB">
            <w:pPr>
              <w:widowControl/>
              <w:spacing w:line="400" w:lineRule="exact"/>
              <w:jc w:val="center"/>
              <w:rPr>
                <w:rFonts w:hint="eastAsia" w:ascii="宋体" w:hAnsi="宋体" w:cs="宋体"/>
                <w:color w:val="auto"/>
                <w:sz w:val="24"/>
                <w:szCs w:val="24"/>
                <w:lang w:val="en-US" w:eastAsia="zh-CN"/>
              </w:rPr>
            </w:pPr>
          </w:p>
        </w:tc>
        <w:tc>
          <w:tcPr>
            <w:tcW w:w="1594" w:type="dxa"/>
            <w:vMerge w:val="continue"/>
            <w:tcBorders/>
            <w:shd w:val="clear" w:color="auto" w:fill="auto"/>
            <w:noWrap w:val="0"/>
            <w:vAlign w:val="center"/>
          </w:tcPr>
          <w:p w14:paraId="2891EEC0">
            <w:pPr>
              <w:widowControl/>
              <w:spacing w:line="400" w:lineRule="exact"/>
              <w:jc w:val="center"/>
              <w:rPr>
                <w:rFonts w:hint="eastAsia" w:ascii="宋体" w:hAnsi="宋体" w:cs="宋体"/>
                <w:color w:val="auto"/>
                <w:sz w:val="24"/>
                <w:szCs w:val="24"/>
                <w:lang w:val="en-US" w:eastAsia="zh-CN"/>
              </w:rPr>
            </w:pPr>
          </w:p>
        </w:tc>
        <w:tc>
          <w:tcPr>
            <w:tcW w:w="1594" w:type="dxa"/>
            <w:vMerge w:val="continue"/>
            <w:shd w:val="clear" w:color="auto" w:fill="auto"/>
            <w:noWrap w:val="0"/>
            <w:vAlign w:val="center"/>
          </w:tcPr>
          <w:p w14:paraId="14F6240F">
            <w:pPr>
              <w:widowControl/>
              <w:spacing w:line="400" w:lineRule="exact"/>
              <w:jc w:val="center"/>
              <w:rPr>
                <w:rFonts w:hint="eastAsia" w:ascii="宋体" w:hAnsi="宋体" w:cs="宋体"/>
                <w:color w:val="auto"/>
                <w:sz w:val="24"/>
                <w:szCs w:val="24"/>
                <w:lang w:val="en-US" w:eastAsia="zh-CN"/>
              </w:rPr>
            </w:pPr>
          </w:p>
        </w:tc>
      </w:tr>
    </w:tbl>
    <w:p w14:paraId="3827FA9C">
      <w:pPr>
        <w:widowControl/>
        <w:spacing w:before="120" w:beforeLines="50"/>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注</w:t>
      </w:r>
      <w:r>
        <w:rPr>
          <w:rFonts w:hint="eastAsia" w:ascii="宋体" w:hAnsi="宋体" w:cs="宋体"/>
          <w:color w:val="auto"/>
          <w:sz w:val="24"/>
          <w:szCs w:val="24"/>
          <w:lang w:eastAsia="zh-CN"/>
        </w:rPr>
        <w:t>：</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3434"/>
      <w:bookmarkStart w:id="20" w:name="_Toc30358"/>
      <w:bookmarkStart w:id="21" w:name="_Toc10137"/>
      <w:bookmarkStart w:id="22" w:name="_Toc25496"/>
      <w:bookmarkStart w:id="23" w:name="_Toc76373866"/>
      <w:bookmarkStart w:id="24" w:name="_Toc2650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感染科实验室</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感染科实验室</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感染科实验室</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感染科实验室</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14224"/>
      <w:bookmarkStart w:id="40" w:name="_Toc9714"/>
      <w:bookmarkStart w:id="41" w:name="_Toc4033"/>
      <w:bookmarkStart w:id="42" w:name="_Toc76373872"/>
      <w:bookmarkStart w:id="43" w:name="_Toc252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76373874"/>
      <w:bookmarkStart w:id="48" w:name="_Toc2599"/>
      <w:bookmarkStart w:id="49" w:name="_Toc3153"/>
      <w:bookmarkStart w:id="50" w:name="_Toc11474"/>
      <w:bookmarkStart w:id="51" w:name="_Toc13391"/>
      <w:bookmarkStart w:id="52" w:name="_Toc25148"/>
      <w:bookmarkStart w:id="53" w:name="_Toc27187"/>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30465"/>
      <w:bookmarkStart w:id="55" w:name="_Toc29620"/>
      <w:bookmarkStart w:id="56" w:name="_Toc29225"/>
      <w:bookmarkStart w:id="57" w:name="_Toc76373876"/>
      <w:bookmarkStart w:id="58" w:name="_Toc6355"/>
      <w:bookmarkStart w:id="59" w:name="_Toc1955"/>
      <w:bookmarkStart w:id="60" w:name="_Toc13107"/>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7CC0F14A">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（1）</w:t>
      </w:r>
      <w:r>
        <w:rPr>
          <w:rFonts w:hint="default" w:ascii="Times New Roman" w:hAnsi="Times New Roman" w:eastAsia="宋体" w:cs="Times New Roman"/>
          <w:b w:val="0"/>
          <w:bCs w:val="0"/>
          <w:i w:val="0"/>
          <w:color w:val="auto"/>
          <w:kern w:val="2"/>
          <w:sz w:val="24"/>
          <w:szCs w:val="24"/>
          <w:lang w:val="en-US" w:eastAsia="zh-CN" w:bidi="ar-SA"/>
        </w:rPr>
        <w:t>乙型肝炎病毒核心抗体检测试剂盒(酶联免疫法）</w:t>
      </w:r>
      <w:r>
        <w:rPr>
          <w:rFonts w:hint="eastAsia" w:ascii="Times New Roman" w:hAnsi="Times New Roman" w:eastAsia="宋体"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br w:type="textWrapping"/>
      </w:r>
      <w:r>
        <w:rPr>
          <w:rFonts w:hint="default" w:ascii="Times New Roman" w:hAnsi="Times New Roman" w:eastAsia="宋体" w:cs="Times New Roman"/>
          <w:b w:val="0"/>
          <w:bCs w:val="0"/>
          <w:i w:val="0"/>
          <w:color w:val="auto"/>
          <w:kern w:val="2"/>
          <w:sz w:val="24"/>
          <w:szCs w:val="24"/>
          <w:lang w:val="en-US" w:eastAsia="zh-CN" w:bidi="ar-SA"/>
        </w:rPr>
        <w:t>功能：用于定性检测人血清或血浆样本中的乙型肝炎病毒核心抗体（抗HBc）。</w:t>
      </w:r>
    </w:p>
    <w:p w14:paraId="20D3AA8E">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参数：</w:t>
      </w:r>
    </w:p>
    <w:p w14:paraId="7B6365DF">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1.方法学：酶联免疫法。</w:t>
      </w:r>
    </w:p>
    <w:p w14:paraId="34217655">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2.外观规格：反应板应密封，名称批号清晰正确；液体组分应澄清，无沉淀，无絮状物；96人份/盒，实验室板条8孔或12孔/条，并可拆卸，孔与孔之间可拆卸。</w:t>
      </w:r>
    </w:p>
    <w:p w14:paraId="723A2628">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3.储存条件：2-8℃避光保存，有效期至少12个月。</w:t>
      </w:r>
    </w:p>
    <w:p w14:paraId="281ACA0B">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4.阴性参考品符合率：检测乙型肝炎病毒核心抗体检测试剂盒国家参考品或经国家参考品标化的公司参考品至少15份阴性参考品时，结果不得出现假阳性。</w:t>
      </w:r>
    </w:p>
    <w:p w14:paraId="6E5CAA9F">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5.阳性参考品符合率：检测乙型肝炎病毒核心抗体检测试剂盒国家参考品或经国家参考品标化的公司参考品至少15份阳性参考品时，假阴性不得多于1份。</w:t>
      </w:r>
    </w:p>
    <w:p w14:paraId="5CA1FF99">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6.检测限：检测乙型肝炎病毒核心抗体检测试剂盒国家参考品或经国家参考品标化的公司参考品中的3份系列稀释参考品，结果符合检测标准。</w:t>
      </w:r>
    </w:p>
    <w:p w14:paraId="6ACBFB38">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7.重复性：检测乙型肝炎病毒核心抗体检测试剂盒国家参考品或经国家参考品标化的公司参考品中的重复性参考品，CV值（n=10）≤20%。</w:t>
      </w:r>
    </w:p>
    <w:p w14:paraId="4AA514B9">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8.装量允许：试剂装量应大于试剂的标示量。</w:t>
      </w:r>
    </w:p>
    <w:p w14:paraId="7404AE59">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9.EQA：近三年参加国家卫生健康委临床检验中心EQA用户数均排名前5。</w:t>
      </w:r>
    </w:p>
    <w:p w14:paraId="0329D2A3">
      <w:pPr>
        <w:pStyle w:val="31"/>
        <w:rPr>
          <w:rFonts w:hint="default"/>
          <w:lang w:val="en-US" w:eastAsia="zh-CN"/>
        </w:rPr>
      </w:pPr>
      <w:bookmarkStart w:id="192" w:name="_GoBack"/>
      <w:bookmarkEnd w:id="192"/>
    </w:p>
    <w:p w14:paraId="621197AD">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（2）</w:t>
      </w:r>
      <w:r>
        <w:rPr>
          <w:rFonts w:hint="default" w:ascii="Times New Roman" w:hAnsi="Times New Roman" w:eastAsia="宋体" w:cs="Times New Roman"/>
          <w:b w:val="0"/>
          <w:bCs w:val="0"/>
          <w:i w:val="0"/>
          <w:color w:val="auto"/>
          <w:kern w:val="2"/>
          <w:sz w:val="24"/>
          <w:szCs w:val="24"/>
          <w:lang w:val="en-US" w:eastAsia="zh-CN" w:bidi="ar-SA"/>
        </w:rPr>
        <w:t>乙型肝炎病毒e抗体检测试剂盒（酶联免疫法））</w:t>
      </w:r>
      <w:r>
        <w:rPr>
          <w:rFonts w:hint="eastAsia" w:ascii="Times New Roman" w:hAnsi="Times New Roman" w:eastAsia="宋体" w:cs="Times New Roman"/>
          <w:b w:val="0"/>
          <w:bCs w:val="0"/>
          <w:i w:val="0"/>
          <w:color w:val="auto"/>
          <w:kern w:val="2"/>
          <w:sz w:val="24"/>
          <w:szCs w:val="24"/>
          <w:lang w:val="en-US" w:eastAsia="zh-CN" w:bidi="ar-SA"/>
        </w:rPr>
        <w:t>：</w:t>
      </w:r>
    </w:p>
    <w:p w14:paraId="35237667">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功能：用于定性检测人血清或血浆样本中的乙型肝炎病毒e抗体。</w:t>
      </w:r>
    </w:p>
    <w:p w14:paraId="47FE4448">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参数：</w:t>
      </w:r>
    </w:p>
    <w:p w14:paraId="05086772">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1.方法学：酶联免疫法。</w:t>
      </w:r>
    </w:p>
    <w:p w14:paraId="50C2C0E5">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2.外观规格：反应板应密封，名称批号清晰正确；液体组分应澄清，无沉淀，无絮状物；96人份/盒，实验室板条8孔或12孔/条，并可拆卸，孔与孔之间可拆卸。</w:t>
      </w:r>
    </w:p>
    <w:p w14:paraId="5647B1F7">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3.储存条件：2-8℃避光保存，有效期至少12个月。</w:t>
      </w:r>
    </w:p>
    <w:p w14:paraId="20B37A87">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4.阴性参考品符合率：检测乙型肝炎病毒e抗体检测试剂盒国家参考品或经国家参考品标化的公司参考品至少15份阴性参考品时，结果不得出现假阳性。</w:t>
      </w:r>
    </w:p>
    <w:p w14:paraId="74E9F085">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5.阳性参考品符合率：检测乙型肝炎病毒e抗体检测试剂盒国家参考品或经国家参考品标化的公司参考品至少10份阳性参考品时，假阴性不得多于1份。</w:t>
      </w:r>
    </w:p>
    <w:p w14:paraId="7315B403">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6.检测限：检测乙型肝炎病毒e抗体检测试剂盒国家参考品或经国家参考品标化的公司参考品中的3份系列稀释参考品，结果符合检测标准。</w:t>
      </w:r>
    </w:p>
    <w:p w14:paraId="325EE568">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7.重复性：检测乙型肝炎病毒e抗体检测试剂盒国家参考品或经国家参考品标化的公司参考品中的重复性参考品，CV值（n=10）≤20%</w:t>
      </w:r>
    </w:p>
    <w:p w14:paraId="7C766E26">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8.装量允许：试剂装量应大于试剂的标示量。</w:t>
      </w:r>
    </w:p>
    <w:p w14:paraId="1CF60DA2">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9.EQA：近三年参加国家卫生健康委临床检验中心EQA用户数均排名前5。</w:t>
      </w:r>
    </w:p>
    <w:p w14:paraId="2A387594">
      <w:pPr>
        <w:pStyle w:val="31"/>
        <w:rPr>
          <w:rFonts w:hint="eastAsia"/>
          <w:lang w:val="en-US" w:eastAsia="zh-CN"/>
        </w:rPr>
      </w:pPr>
    </w:p>
    <w:p w14:paraId="6B14D031">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（3）乙型肝炎病毒e抗原检测试剂盒（酶联免疫法））：</w:t>
      </w:r>
    </w:p>
    <w:p w14:paraId="22EACE1F">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功能：用于定性检测人血清或血浆样本中的乙型肝炎病毒e抗原（HBeAg），用于临床乙型肝炎病毒感染的辅助诊断。</w:t>
      </w:r>
    </w:p>
    <w:p w14:paraId="3D74483E">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参数：</w:t>
      </w:r>
    </w:p>
    <w:p w14:paraId="750DA751">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1.方法学：酶联免疫法。</w:t>
      </w:r>
    </w:p>
    <w:p w14:paraId="52AEEC04">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2.外观规格：反应板应密封，名称批号清晰正确；液体组分应澄清，无沉淀，无絮状物；96人份/盒，实验室板条8孔或12孔/条，并可拆卸，孔与孔之间可拆卸。</w:t>
      </w:r>
    </w:p>
    <w:p w14:paraId="68F9B7D8">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3.储存条件：2-8℃避光保存，有效期至少12个月。</w:t>
      </w:r>
    </w:p>
    <w:p w14:paraId="6DD26906">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4.阴性参考品符合率：检测乙型肝炎病毒e抗原检测试剂盒国家参考品或经国家参考品标化的公司参考品至少15份阴性参考品时，结果不得出现假阳性。</w:t>
      </w:r>
    </w:p>
    <w:p w14:paraId="3FAB6F3C">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5.阳性参考品符合率：检测乙型肝炎病毒e抗原检测试剂盒国家参考品或经国家参考品标化的公司参考品至少10份阳性参考品时，假阴性不得多于1份。</w:t>
      </w:r>
    </w:p>
    <w:p w14:paraId="7B0BBD44">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6.检测限：检测乙型肝炎病毒e抗原检测试剂盒国家参考品或经国家参考品标化的公司参考品中的3份系列稀释参考品，结果符合检测标准。</w:t>
      </w:r>
    </w:p>
    <w:p w14:paraId="30C34B4C">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7.重复性：检测乙型肝炎病毒e抗原检测试剂盒国家参考品或经国家参考品标化的公司参考品中的重复性参考品，CV值（n=10）≤15%</w:t>
      </w:r>
    </w:p>
    <w:p w14:paraId="58CA8809">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8.装量允许：试剂装量应大于试剂的标示量。</w:t>
      </w:r>
    </w:p>
    <w:p w14:paraId="6B72417D">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9.EQA：近三年参加国家卫生健康委临床检验中心EQA用户数均排名前5。</w:t>
      </w:r>
    </w:p>
    <w:p w14:paraId="746C56BB">
      <w:pPr>
        <w:pStyle w:val="31"/>
        <w:rPr>
          <w:rFonts w:hint="eastAsia"/>
          <w:lang w:val="en-US" w:eastAsia="zh-CN"/>
        </w:rPr>
      </w:pPr>
    </w:p>
    <w:p w14:paraId="0E0E574F">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（4）乙型肝炎病毒表面抗体检测试剂盒（酶联免疫法）：</w:t>
      </w:r>
    </w:p>
    <w:p w14:paraId="7072819B">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功能：用于体外定性检测人血清或血浆样本中的乙型肝炎病毒表面抗体（抗HBs），用于临床乙型肝炎病毒感染辅助诊断。</w:t>
      </w:r>
    </w:p>
    <w:p w14:paraId="61345D85">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参数：</w:t>
      </w:r>
    </w:p>
    <w:p w14:paraId="65004599">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1.方法学：酶联免疫法。</w:t>
      </w:r>
    </w:p>
    <w:p w14:paraId="5D44FA52">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2.外观规格：反应板应密封，名称批号清晰正确；液体组分应澄清，无沉淀，无絮状物；96人份/盒，实验室板条8孔或12孔/条，并可拆卸，孔与孔之间可拆卸。</w:t>
      </w:r>
    </w:p>
    <w:p w14:paraId="141AAD5E">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3.储存条件：2-8℃避光保存，有效期至少12个月。</w:t>
      </w:r>
    </w:p>
    <w:p w14:paraId="179C06EB">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4.阴性参考品符合率：检测乙型肝炎病毒表面抗体检测试剂盒国家参考品或经国家参考品标化的公司参考品至少20份阴性参考品时，结果不得出现假阳性。</w:t>
      </w:r>
    </w:p>
    <w:p w14:paraId="594CD162">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5.检测限：检测乙型肝炎病毒表面抗体检测试剂盒国家参考品或经国家参考品标化的公司参考品中的10mIU/ml检测限参考品时，结果为阳性。</w:t>
      </w:r>
    </w:p>
    <w:p w14:paraId="54C18BFF">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6.重复性：检测乙型肝炎病毒表面抗体检测试剂盒国家参考品或经国家参考品标化的公司参考品中的重复性参考品，CV值（n=10）≤15%</w:t>
      </w:r>
    </w:p>
    <w:p w14:paraId="1D70BB27">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7.装量允许：试剂装量应大于试剂的标示量。</w:t>
      </w:r>
    </w:p>
    <w:p w14:paraId="18E8A161">
      <w:pPr>
        <w:pStyle w:val="168"/>
        <w:widowControl/>
        <w:numPr>
          <w:ilvl w:val="0"/>
          <w:numId w:val="0"/>
        </w:numPr>
        <w:spacing w:line="400" w:lineRule="exact"/>
        <w:rPr>
          <w:rFonts w:hint="eastAsia"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8.EQA：近三年参加国家卫生健康委临床检验中心EQA用户数均排名前5。</w:t>
      </w:r>
    </w:p>
    <w:p w14:paraId="20294DCF">
      <w:pPr>
        <w:pStyle w:val="31"/>
        <w:rPr>
          <w:rFonts w:hint="eastAsia"/>
          <w:lang w:val="en-US" w:eastAsia="zh-CN"/>
        </w:rPr>
      </w:pPr>
    </w:p>
    <w:p w14:paraId="35904E78">
      <w:pPr>
        <w:pStyle w:val="168"/>
        <w:widowControl/>
        <w:numPr>
          <w:ilvl w:val="0"/>
          <w:numId w:val="0"/>
        </w:numPr>
        <w:spacing w:line="400" w:lineRule="exact"/>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（5）戊型肝炎病毒IgM抗体检测试剂盒（酶联免疫法）</w:t>
      </w:r>
    </w:p>
    <w:p w14:paraId="7C3ED928">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功能：用于定性检测血清或血浆样本中的抗HEV-IgM。</w:t>
      </w:r>
    </w:p>
    <w:p w14:paraId="34116B31">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参数：</w:t>
      </w:r>
    </w:p>
    <w:p w14:paraId="44614BE3">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1方法学：酶联免疫法。</w:t>
      </w:r>
    </w:p>
    <w:p w14:paraId="42CCA38B">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2.外观规格：反应板应密封，名称批号清晰正确；液体组分澄清，无沉淀，无絮状物；96人份/盒，实验板条8孔或12孔/条，并可拆卸，孔与孔之间可拆卸。</w:t>
      </w:r>
    </w:p>
    <w:p w14:paraId="05697AFB">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3.储存条件：2-8℃避光保存，有效期至少12个月。</w:t>
      </w:r>
    </w:p>
    <w:p w14:paraId="7C7D756A">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4.阴性参考品符合率、阳性参考品符合率、检测限、重复性：检测国家参考品或经国家参考品标化的参考品时应符合要求。</w:t>
      </w:r>
    </w:p>
    <w:p w14:paraId="70537CC5">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5.装量允许：试剂装量应大于试剂的标示量。</w:t>
      </w:r>
    </w:p>
    <w:p w14:paraId="4B20D5E2">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6.EQA：近三年参加国家卫生健康委临床检验中心EQA用户数均排名前5。</w:t>
      </w:r>
    </w:p>
    <w:p w14:paraId="614418C7">
      <w:pPr>
        <w:pStyle w:val="31"/>
        <w:rPr>
          <w:rFonts w:hint="default"/>
          <w:lang w:val="en-US" w:eastAsia="zh-CN"/>
        </w:rPr>
      </w:pPr>
    </w:p>
    <w:p w14:paraId="5270BA77">
      <w:pPr>
        <w:pStyle w:val="168"/>
        <w:widowControl/>
        <w:numPr>
          <w:ilvl w:val="0"/>
          <w:numId w:val="0"/>
        </w:numPr>
        <w:spacing w:line="400" w:lineRule="exact"/>
        <w:rPr>
          <w:rFonts w:hint="eastAsia"/>
          <w:lang w:val="en-US" w:eastAsia="zh-CN"/>
        </w:rPr>
      </w:pPr>
      <w:r>
        <w:rPr>
          <w:rFonts w:hint="eastAsia" w:ascii="Times New Roman" w:hAnsi="Times New Roman" w:cs="Times New Roman"/>
          <w:b w:val="0"/>
          <w:bCs w:val="0"/>
          <w:i w:val="0"/>
          <w:color w:val="auto"/>
          <w:kern w:val="2"/>
          <w:sz w:val="24"/>
          <w:szCs w:val="24"/>
          <w:lang w:val="en-US" w:eastAsia="zh-CN" w:bidi="ar-SA"/>
        </w:rPr>
        <w:t>（</w:t>
      </w:r>
      <w:r>
        <w:rPr>
          <w:rFonts w:hint="eastAsia" w:ascii="Times New Roman" w:hAnsi="Times New Roman" w:cs="Times New Roman"/>
          <w:b w:val="0"/>
          <w:bCs w:val="0"/>
          <w:i w:val="0"/>
          <w:color w:val="auto"/>
          <w:kern w:val="2"/>
          <w:sz w:val="24"/>
          <w:szCs w:val="24"/>
          <w:lang w:val="en-US" w:eastAsia="zh-CN" w:bidi="ar-SA"/>
        </w:rPr>
        <w:t>6</w:t>
      </w:r>
      <w:r>
        <w:rPr>
          <w:rFonts w:hint="eastAsia" w:ascii="Times New Roman" w:hAnsi="Times New Roman" w:cs="Times New Roman"/>
          <w:b w:val="0"/>
          <w:bCs w:val="0"/>
          <w:i w:val="0"/>
          <w:color w:val="auto"/>
          <w:kern w:val="2"/>
          <w:sz w:val="24"/>
          <w:szCs w:val="24"/>
          <w:lang w:val="en-US" w:eastAsia="zh-CN" w:bidi="ar-SA"/>
        </w:rPr>
        <w:t>）</w:t>
      </w:r>
      <w:r>
        <w:rPr>
          <w:rFonts w:hint="eastAsia" w:ascii="Times New Roman" w:hAnsi="Times New Roman" w:cs="Times New Roman"/>
          <w:b w:val="0"/>
          <w:bCs w:val="0"/>
          <w:i w:val="0"/>
          <w:color w:val="auto"/>
          <w:kern w:val="2"/>
          <w:sz w:val="24"/>
          <w:szCs w:val="24"/>
          <w:lang w:val="en-US" w:eastAsia="zh-CN" w:bidi="ar-SA"/>
        </w:rPr>
        <w:t>甲型肝炎病毒IgM抗体检测试剂盒（酶联免疫法））</w:t>
      </w:r>
    </w:p>
    <w:p w14:paraId="5BDD1787">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功能：用于检测人血清或血浆样本中的甲型肝炎病毒IgM抗体。</w:t>
      </w:r>
    </w:p>
    <w:p w14:paraId="71B1118C">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参数：</w:t>
      </w:r>
    </w:p>
    <w:p w14:paraId="4F55503F">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1.方法学：酶联免疫法。</w:t>
      </w:r>
    </w:p>
    <w:p w14:paraId="4391F24F">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2.外观规格：反应板应密封，名称批号清晰正确；液体组分应澄清，无沉淀，无絮状物；96人份/盒，实验室板条8孔或12孔/条，并可拆卸，孔与孔之间可拆卸。</w:t>
      </w:r>
    </w:p>
    <w:p w14:paraId="755A21EE">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3.储存条件：2-8℃避光保存，有效期至少12个月。</w:t>
      </w:r>
    </w:p>
    <w:p w14:paraId="694689A7">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4.阴性参考品符合率：检测阴性参考品不得出现假阳性。</w:t>
      </w:r>
    </w:p>
    <w:p w14:paraId="7E8BFA90">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5.检测限：检测检测限参考品2NCU/ml为阳性。</w:t>
      </w:r>
    </w:p>
    <w:p w14:paraId="574954EA">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6.精密度：检测重复性参考品，CV值（n=10）≤15%。</w:t>
      </w:r>
    </w:p>
    <w:p w14:paraId="0FF74B79">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7.装量允许：试剂装量应大于试剂的标示量。</w:t>
      </w:r>
    </w:p>
    <w:p w14:paraId="3AD474FE">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8.EQA：近三年参加国家卫生健康委临床检验中心EQA用户数均排名前5。</w:t>
      </w: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4791"/>
      <w:bookmarkStart w:id="63" w:name="_Toc76373878"/>
      <w:bookmarkStart w:id="64" w:name="_Toc17524"/>
      <w:bookmarkStart w:id="65" w:name="_Toc17944"/>
      <w:bookmarkStart w:id="66" w:name="_Toc31843"/>
      <w:bookmarkStart w:id="67" w:name="_Toc7794"/>
      <w:bookmarkStart w:id="68" w:name="_Toc2072"/>
      <w:bookmarkStart w:id="69" w:name="_Toc15650"/>
      <w:bookmarkStart w:id="70" w:name="_Toc24122"/>
      <w:bookmarkStart w:id="71" w:name="_Toc1768"/>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29836"/>
      <w:bookmarkStart w:id="74" w:name="_Toc14311"/>
      <w:bookmarkStart w:id="75" w:name="_Toc30551"/>
      <w:bookmarkStart w:id="76" w:name="_Toc76373879"/>
      <w:bookmarkStart w:id="77" w:name="_Toc5959"/>
      <w:bookmarkStart w:id="78" w:name="_Toc9339"/>
      <w:bookmarkStart w:id="79" w:name="_Toc22561"/>
      <w:bookmarkStart w:id="80" w:name="_Toc16908"/>
      <w:bookmarkStart w:id="81" w:name="_Toc28942"/>
      <w:bookmarkStart w:id="82"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76373885"/>
      <w:bookmarkStart w:id="84" w:name="_Toc20772"/>
      <w:bookmarkStart w:id="85" w:name="_Toc27893"/>
      <w:bookmarkStart w:id="86" w:name="_Toc27737"/>
      <w:bookmarkStart w:id="87" w:name="_Toc12384"/>
      <w:bookmarkStart w:id="88" w:name="_Toc20263"/>
      <w:bookmarkStart w:id="89" w:name="_Toc2258"/>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76373886"/>
      <w:bookmarkStart w:id="91" w:name="_Toc28189"/>
      <w:bookmarkStart w:id="92" w:name="_Toc12712"/>
      <w:bookmarkStart w:id="93" w:name="_Toc11052"/>
      <w:bookmarkStart w:id="94" w:name="_Toc7115"/>
      <w:bookmarkStart w:id="95" w:name="_Toc2369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5535"/>
      <w:bookmarkStart w:id="98" w:name="_Toc26754"/>
      <w:bookmarkStart w:id="99" w:name="_Toc13585"/>
      <w:bookmarkStart w:id="100" w:name="_Toc76373887"/>
      <w:bookmarkStart w:id="101" w:name="_Toc9147"/>
      <w:bookmarkStart w:id="102" w:name="_Toc31293"/>
      <w:bookmarkStart w:id="103" w:name="_Toc19809"/>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2900"/>
      <w:bookmarkStart w:id="105" w:name="_Toc5251"/>
      <w:bookmarkStart w:id="106" w:name="_Toc8546"/>
      <w:bookmarkStart w:id="107" w:name="_Toc30068"/>
      <w:bookmarkStart w:id="108" w:name="_Toc76373889"/>
      <w:bookmarkStart w:id="109" w:name="_Toc16925"/>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26071"/>
      <w:bookmarkStart w:id="113" w:name="_Toc11654"/>
      <w:bookmarkStart w:id="114" w:name="_Toc27443"/>
      <w:bookmarkStart w:id="115" w:name="_Toc11342"/>
      <w:bookmarkStart w:id="116" w:name="_Toc76373890"/>
      <w:bookmarkStart w:id="117" w:name="_Toc20034"/>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27646"/>
      <w:bookmarkStart w:id="121" w:name="_Toc25199"/>
      <w:bookmarkStart w:id="122" w:name="_Toc76373891"/>
      <w:bookmarkStart w:id="123" w:name="_Toc20391"/>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20762"/>
      <w:bookmarkStart w:id="132" w:name="_Toc19409"/>
      <w:bookmarkStart w:id="133" w:name="_Toc10152"/>
      <w:bookmarkStart w:id="134" w:name="_Toc76373904"/>
      <w:bookmarkStart w:id="135" w:name="_Toc24088"/>
      <w:bookmarkStart w:id="136" w:name="_Toc2975"/>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11892"/>
      <w:bookmarkStart w:id="139" w:name="_Toc12863"/>
      <w:bookmarkStart w:id="140" w:name="_Toc16112"/>
      <w:bookmarkStart w:id="141" w:name="_Toc76373907"/>
      <w:bookmarkStart w:id="142" w:name="_Toc11763"/>
      <w:bookmarkStart w:id="143" w:name="_Toc7750"/>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3094"/>
      <w:bookmarkStart w:id="152" w:name="_Toc10063"/>
      <w:bookmarkStart w:id="153"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_Toc15483"/>
      <w:bookmarkStart w:id="155" w:name="OLE_LINK9"/>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21830"/>
      <w:bookmarkStart w:id="165" w:name="_Toc76373909"/>
      <w:bookmarkStart w:id="166" w:name="_Toc9795"/>
      <w:bookmarkStart w:id="167" w:name="_Toc493178790"/>
      <w:bookmarkStart w:id="168" w:name="_Toc21431"/>
      <w:bookmarkStart w:id="169" w:name="_Toc27306"/>
      <w:bookmarkStart w:id="170" w:name="_Toc23879"/>
      <w:bookmarkStart w:id="171" w:name="_Toc28644"/>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411"/>
      <w:bookmarkStart w:id="174" w:name="_Toc493178791"/>
      <w:bookmarkStart w:id="175" w:name="_Toc16487"/>
      <w:bookmarkStart w:id="176" w:name="_Toc20258"/>
      <w:bookmarkStart w:id="177" w:name="_Toc20875"/>
      <w:bookmarkStart w:id="178" w:name="_Toc12647"/>
      <w:bookmarkStart w:id="179" w:name="_Toc76373910"/>
      <w:bookmarkStart w:id="180"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4250"/>
      <w:bookmarkStart w:id="183" w:name="_Toc19291"/>
      <w:bookmarkStart w:id="184" w:name="_Toc76373912"/>
      <w:bookmarkStart w:id="185" w:name="_Toc8925"/>
      <w:bookmarkStart w:id="186" w:name="_Toc20605"/>
      <w:bookmarkStart w:id="187" w:name="_Toc6217"/>
      <w:bookmarkStart w:id="188" w:name="_Toc16151"/>
      <w:bookmarkStart w:id="189" w:name="_Toc492721038"/>
      <w:bookmarkStart w:id="190" w:name="_Toc493178793"/>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F124D2-7DA0-461F-90E7-F76A07FBFBE7}"/>
  </w:font>
  <w:font w:name="黑体">
    <w:panose1 w:val="02010609060101010101"/>
    <w:charset w:val="86"/>
    <w:family w:val="auto"/>
    <w:pitch w:val="default"/>
    <w:sig w:usb0="800002BF" w:usb1="38CF7CFA" w:usb2="00000016" w:usb3="00000000" w:csb0="00040001" w:csb1="00000000"/>
    <w:embedRegular r:id="rId2" w:fontKey="{21CE6BFC-1BE7-4631-841C-C9B02AD423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96315577-47AF-4391-8F93-43A6B455C7FD}"/>
  </w:font>
  <w:font w:name="Arial Unicode MS">
    <w:panose1 w:val="020B0604020202020204"/>
    <w:charset w:val="86"/>
    <w:family w:val="roman"/>
    <w:pitch w:val="default"/>
    <w:sig w:usb0="FFFFFFFF" w:usb1="E9FFFFFF" w:usb2="0000003F" w:usb3="00000000" w:csb0="603F01FF" w:csb1="FFFF0000"/>
    <w:embedRegular r:id="rId4" w:fontKey="{3A1DB472-75F5-4834-8A64-B9EFE2890030}"/>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9218CA00-D477-4C69-AB57-5F67C85421D9}"/>
  </w:font>
  <w:font w:name="Verdana">
    <w:panose1 w:val="020B0604030504040204"/>
    <w:charset w:val="00"/>
    <w:family w:val="swiss"/>
    <w:pitch w:val="default"/>
    <w:sig w:usb0="A0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F1932480-D8F4-4E46-9932-6F226B92E316}"/>
  </w:font>
  <w:font w:name="方正黑体_GBK">
    <w:panose1 w:val="03000509000000000000"/>
    <w:charset w:val="86"/>
    <w:family w:val="script"/>
    <w:pitch w:val="default"/>
    <w:sig w:usb0="00000001" w:usb1="080E0000" w:usb2="00000000" w:usb3="00000000" w:csb0="00040000" w:csb1="00000000"/>
    <w:embedRegular r:id="rId7" w:fontKey="{38D5F43B-D99F-465B-9065-7F1DC655D85D}"/>
  </w:font>
  <w:font w:name="方正小标宋_GBK">
    <w:panose1 w:val="02000000000000000000"/>
    <w:charset w:val="86"/>
    <w:family w:val="script"/>
    <w:pitch w:val="default"/>
    <w:sig w:usb0="A00002BF" w:usb1="38CF7CFA" w:usb2="00082016" w:usb3="00000000" w:csb0="00040001" w:csb1="00000000"/>
    <w:embedRegular r:id="rId8" w:fontKey="{5B976730-672C-4125-AB09-76344DD6CD49}"/>
  </w:font>
  <w:font w:name="Segoe UI">
    <w:panose1 w:val="020B0502040204020203"/>
    <w:charset w:val="00"/>
    <w:family w:val="auto"/>
    <w:pitch w:val="default"/>
    <w:sig w:usb0="E4002EFF" w:usb1="C000E47F" w:usb2="00000009" w:usb3="00000000" w:csb0="200001FF" w:csb1="00000000"/>
    <w:embedRegular r:id="rId9" w:fontKey="{2FE3CBAB-4992-4854-88A8-C7FE739F2CB0}"/>
  </w:font>
  <w:font w:name="微软雅黑">
    <w:panose1 w:val="020B0503020204020204"/>
    <w:charset w:val="86"/>
    <w:family w:val="swiss"/>
    <w:pitch w:val="default"/>
    <w:sig w:usb0="80000287" w:usb1="2ACF3C50" w:usb2="00000016" w:usb3="00000000" w:csb0="0004001F" w:csb1="00000000"/>
    <w:embedRegular r:id="rId10" w:fontKey="{4A26D36E-2C95-4A42-AED3-137E505FC566}"/>
  </w:font>
  <w:font w:name="仿宋">
    <w:panose1 w:val="02010609060101010101"/>
    <w:charset w:val="86"/>
    <w:family w:val="modern"/>
    <w:pitch w:val="default"/>
    <w:sig w:usb0="800002BF" w:usb1="38CF7CFA" w:usb2="00000016" w:usb3="00000000" w:csb0="00040001" w:csb1="00000000"/>
    <w:embedRegular r:id="rId11" w:fontKey="{91487A32-73C6-429A-999A-AC860C6013EF}"/>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2000000000000000000"/>
    <w:charset w:val="86"/>
    <w:family w:val="auto"/>
    <w:pitch w:val="default"/>
    <w:sig w:usb0="A00002BF" w:usb1="38CF7CFA" w:usb2="00082016" w:usb3="00000000" w:csb0="00040001"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55120"/>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736032"/>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6435D5"/>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1683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0E5B"/>
    <w:rsid w:val="6F9F4CF5"/>
    <w:rsid w:val="6FA3330D"/>
    <w:rsid w:val="6FCD2479"/>
    <w:rsid w:val="6FD13561"/>
    <w:rsid w:val="6FEA4288"/>
    <w:rsid w:val="706F343A"/>
    <w:rsid w:val="70741C73"/>
    <w:rsid w:val="70B12840"/>
    <w:rsid w:val="70C154D4"/>
    <w:rsid w:val="70C539E5"/>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01D09"/>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basedOn w:val="61"/>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5252</Words>
  <Characters>5506</Characters>
  <Lines>101</Lines>
  <Paragraphs>28</Paragraphs>
  <TotalTime>2</TotalTime>
  <ScaleCrop>false</ScaleCrop>
  <LinksUpToDate>false</LinksUpToDate>
  <CharactersWithSpaces>5597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2026-09-10T07:05:00Z</cp:lastPrinted>
  <dcterms:modified xsi:type="dcterms:W3CDTF">2026-09-30T03:57:49Z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01F34748703947CEA638E31878FF0F74_13</vt:lpwstr>
  </property>
  <property fmtid="{D5CDD505-2E9C-101B-9397-08002B2CF9AE}" pid="4" name="KSOTemplateDocerSaveRecord">
    <vt:lpwstr>eyJoZGlkIjoiZmRiNzE5NTA5Y2ExNjA5MWM3MjdiYjg4NDg2MzUxMTAiLCJ1c2VySWQiOiI1NTIwNzAyNTIifQ==</vt:lpwstr>
  </property>
</Properties>
</file>