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088E9">
      <w:pPr>
        <w:pStyle w:val="31"/>
      </w:pPr>
      <w:r>
        <w:t>重庆医科大学附属第二医院</w:t>
      </w:r>
    </w:p>
    <w:p w14:paraId="0B3DF776">
      <w:pPr>
        <w:pStyle w:val="31"/>
      </w:pPr>
      <w:r>
        <w:t>统一数据基座平台功能需求</w:t>
      </w:r>
    </w:p>
    <w:p w14:paraId="6F3319BA">
      <w:pPr>
        <w:spacing w:before="100"/>
        <w:jc w:val="both"/>
      </w:pPr>
      <w:r>
        <w:t>我院已建有稳定运行的数据中心，具备文本数据采集、汇聚和基础治理能力。为支撑高质量数据集建设及多中心科研协作，拟在现有基础上完善统一数据基座，采集与汇聚院内及多中心合作机构数据，提升多模态数据存储、治理和共享能力，形成以患者为中心、覆盖各病种及诊疗全过程的数据资源。依托统一数据基座，实现多中心机构、科研项目、研究队列和数据资源的统一管理与可视化展现，并与院内已有临床研究管理平台衔接，支撑跨机构科研协作。现面向厂商开展阳光推介调研，请结合需求提供建设方案、应用案例及参考报价，为后续采购建设提供参考依据。平台核心功能需求如下：</w:t>
      </w:r>
    </w:p>
    <w:p w14:paraId="493BE50C">
      <w:pPr>
        <w:pStyle w:val="3"/>
        <w:keepNext/>
        <w:jc w:val="both"/>
        <w:rPr>
          <w:rFonts w:hint="default" w:eastAsia="Heiti SC"/>
          <w:lang w:val="en-US" w:eastAsia="zh-CN"/>
        </w:rPr>
      </w:pPr>
      <w:r>
        <w:rPr>
          <w:rFonts w:hint="eastAsia"/>
          <w:lang w:val="en-US" w:eastAsia="zh-CN"/>
        </w:rPr>
        <w:t>一、多中心多模态数据采集管理</w:t>
      </w:r>
    </w:p>
    <w:p w14:paraId="2A1E0D5C">
      <w:pPr>
        <w:pStyle w:val="3"/>
        <w:keepNext/>
        <w:jc w:val="both"/>
      </w:pPr>
      <w:r>
        <w:t>1</w:t>
      </w:r>
      <w:r>
        <w:rPr>
          <w:rFonts w:hint="eastAsia"/>
          <w:lang w:eastAsia="zh-CN"/>
        </w:rPr>
        <w:t>.</w:t>
      </w:r>
      <w:r>
        <w:rPr>
          <w:rFonts w:hint="eastAsia"/>
          <w:lang w:val="en-US" w:eastAsia="zh-CN"/>
        </w:rPr>
        <w:t>多中心</w:t>
      </w:r>
      <w:r>
        <w:t>数据采集与汇聚</w:t>
      </w:r>
    </w:p>
    <w:p w14:paraId="7D9B0E1D">
      <w:pPr>
        <w:jc w:val="both"/>
        <w:rPr>
          <w:rFonts w:hint="default" w:eastAsia="Songti SC"/>
          <w:lang w:val="en-US" w:eastAsia="zh-CN"/>
        </w:rPr>
      </w:pPr>
      <w:r>
        <w:rPr>
          <w:rFonts w:hint="eastAsia"/>
          <w:lang w:val="en-US" w:eastAsia="zh-CN"/>
        </w:rPr>
        <w:t>可按机构授权范围及科研项目需求，制定统一的数据采集规则，采集与汇聚院内系统、医联体及其他合作机构的诊疗记录、病历文本、医学影像、病理、心电等医疗数据，以及公共卫生、医保等院外数据和床旁监护、可穿戴设备等监测数据。支持接口对接、批量导入及研究数据人工录入，统一采集各中心病例基线、诊疗和随访数据，自动标识来源机构、来源系统及所属项目。可进行历史数据补充采集与新增数据持续更新，配置各中心采集范围、字段映射及更新频率，支持采集校验、失败重试和补采。采集过程应保障来源系统正常运行，对漏采、重复及异常数据进行核对处理，并落实敏感信息脱敏要求，为多中心科研和高质量数据集生产提供数据支撑。因院内已有文本模态的数据中心，院内数据采集汇聚仅需支持</w:t>
      </w:r>
      <w:r>
        <w:t>影像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X-ray、CT、MRI、SPECT、PET）</w:t>
      </w:r>
      <w:r>
        <w:t>、病理切片、心电波形等</w:t>
      </w:r>
      <w:r>
        <w:rPr>
          <w:rFonts w:hint="eastAsia"/>
          <w:lang w:val="en-US" w:eastAsia="zh-CN"/>
        </w:rPr>
        <w:t>模态，院外数据采集汇聚需支持文本、</w:t>
      </w:r>
      <w:r>
        <w:t>影像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X-ray、CT、MRI、SPECT、PET）</w:t>
      </w:r>
      <w:r>
        <w:t>、病理切片、心电波形等</w:t>
      </w:r>
      <w:r>
        <w:rPr>
          <w:rFonts w:hint="eastAsia"/>
          <w:lang w:val="en-US" w:eastAsia="zh-CN"/>
        </w:rPr>
        <w:t>模态。</w:t>
      </w:r>
    </w:p>
    <w:p w14:paraId="69B43A19">
      <w:pPr>
        <w:pStyle w:val="3"/>
        <w:keepNext/>
        <w:jc w:val="both"/>
      </w:pPr>
      <w:r>
        <w:t>2</w:t>
      </w:r>
      <w:r>
        <w:rPr>
          <w:rFonts w:hint="eastAsia"/>
          <w:lang w:eastAsia="zh-CN"/>
        </w:rPr>
        <w:t>.</w:t>
      </w:r>
      <w:r>
        <w:t>数据存储</w:t>
      </w:r>
    </w:p>
    <w:p w14:paraId="4025C5CE">
      <w:pPr>
        <w:jc w:val="both"/>
      </w:pPr>
      <w:r>
        <w:rPr>
          <w:rFonts w:hint="eastAsia"/>
          <w:lang w:val="en-US" w:eastAsia="zh-CN"/>
        </w:rPr>
        <w:t>可进行各类医疗数据的统一存储、分类分级管理和长期保存，保留原始数据及来源信息，形成标准化数据资源。按机构、病种、项目和数据集组织管理数据，保留中心归属、采集时间及更新记录，支持科研数据集版本管理和来源追溯。各中心数据按授权范围进行隔离管理和关联使用，满足数据持续增长、多用户并发查询和综合统计分析需求。</w:t>
      </w:r>
    </w:p>
    <w:p w14:paraId="714C28BB">
      <w:pPr>
        <w:pStyle w:val="3"/>
        <w:keepNext/>
        <w:jc w:val="both"/>
      </w:pP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.</w:t>
      </w:r>
      <w:r>
        <w:t>多</w:t>
      </w:r>
      <w:r>
        <w:rPr>
          <w:rFonts w:hint="eastAsia"/>
          <w:lang w:val="en-US" w:eastAsia="zh-CN"/>
        </w:rPr>
        <w:t>模态</w:t>
      </w:r>
      <w:r>
        <w:t>医疗数据管理</w:t>
      </w:r>
    </w:p>
    <w:p w14:paraId="2650D33E">
      <w:pPr>
        <w:jc w:val="both"/>
        <w:rPr>
          <w:rFonts w:ascii="宋体" w:hAnsi="宋体" w:eastAsia="宋体"/>
          <w:i w:val="0"/>
          <w:iCs w:val="0"/>
          <w:color w:val="auto"/>
          <w:sz w:val="24"/>
          <w:szCs w:val="24"/>
        </w:rPr>
      </w:pPr>
      <w:r>
        <w:rPr>
          <w:rFonts w:hint="eastAsia"/>
          <w:lang w:val="en-US" w:eastAsia="zh-CN"/>
        </w:rPr>
        <w:t>可对各类</w:t>
      </w:r>
      <w:r>
        <w:t>影像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X-ray、CT、MRI、SPECT、PET）</w:t>
      </w:r>
      <w:r>
        <w:t>、病理切片、心电波形等多模态数据及配套报告的统一管理，实现与患者诊疗记录的准确关联，形成完整的患者数据档案。</w:t>
      </w:r>
      <w:r>
        <w:rPr>
          <w:rFonts w:hint="eastAsia"/>
          <w:lang w:val="en-US" w:eastAsia="zh-CN"/>
        </w:rPr>
        <w:t>可</w:t>
      </w:r>
      <w:r>
        <w:t>按患者、病种、检查类型、部位、时间等条件进行组合检索与关联查看。</w:t>
      </w:r>
      <w:r>
        <w:rPr>
          <w:highlight w:val="none"/>
        </w:rPr>
        <w:t>提供</w:t>
      </w:r>
      <w:r>
        <w:rPr>
          <w:rFonts w:hint="eastAsia"/>
          <w:highlight w:val="none"/>
          <w:lang w:val="en-US" w:eastAsia="zh-CN"/>
        </w:rPr>
        <w:t>多模态</w:t>
      </w:r>
      <w:r>
        <w:rPr>
          <w:highlight w:val="none"/>
        </w:rPr>
        <w:t>数据</w:t>
      </w:r>
      <w:r>
        <w:rPr>
          <w:rFonts w:hint="eastAsia"/>
          <w:highlight w:val="none"/>
          <w:lang w:val="en-US" w:eastAsia="zh-CN"/>
        </w:rPr>
        <w:t>治理</w:t>
      </w:r>
      <w:r>
        <w:rPr>
          <w:highlight w:val="none"/>
        </w:rPr>
        <w:t>、质量控制</w:t>
      </w:r>
      <w:r>
        <w:rPr>
          <w:rFonts w:hint="eastAsia"/>
          <w:highlight w:val="none"/>
          <w:lang w:val="en-US" w:eastAsia="zh-CN"/>
        </w:rPr>
        <w:t>等</w:t>
      </w:r>
      <w:r>
        <w:rPr>
          <w:highlight w:val="none"/>
        </w:rPr>
        <w:t>能力，</w:t>
      </w:r>
      <w:r>
        <w:rPr>
          <w:rFonts w:hint="eastAsia"/>
          <w:lang w:val="en-US" w:eastAsia="zh-CN"/>
        </w:rPr>
        <w:t>可按</w:t>
      </w:r>
      <w:r>
        <w:t>数据规模、病种分布和质量情况</w:t>
      </w:r>
      <w:r>
        <w:rPr>
          <w:rFonts w:hint="eastAsia"/>
          <w:lang w:val="en-US" w:eastAsia="zh-CN"/>
        </w:rPr>
        <w:t>等维度进行</w:t>
      </w:r>
      <w:r>
        <w:t>统计展示，满足临床研究和高质量数据集建设需求。</w:t>
      </w:r>
    </w:p>
    <w:p w14:paraId="60412EA1">
      <w:pPr>
        <w:pStyle w:val="3"/>
        <w:keepNext/>
        <w:jc w:val="both"/>
      </w:pPr>
      <w:r>
        <w:rPr>
          <w:rFonts w:hint="eastAsia"/>
          <w:lang w:val="en-US" w:eastAsia="zh-CN"/>
        </w:rPr>
        <w:t>4.</w:t>
      </w:r>
      <w:r>
        <w:t>数据治理与标准统一</w:t>
      </w:r>
    </w:p>
    <w:p w14:paraId="6CBA4364">
      <w:pPr>
        <w:jc w:val="both"/>
      </w:pPr>
      <w:r>
        <w:rPr>
          <w:rFonts w:hint="eastAsia"/>
          <w:lang w:val="en-US" w:eastAsia="zh-CN"/>
        </w:rPr>
        <w:t>进行数据质量检查与治理，处理缺失、重复、异常等问题，统一诊断、手术、检验、药品等医学术语、数据格式和统计口径，提升不同机构、不同系统数据的一致性、规范性、准确性和完整性。建立多中心统一数据模型，管理数据元、值域、单位、术语编码及源字段映射规则，支撑各中心采用一致的采集和分析标准。与院内已有的数据中台进行对接，将治理以后的数据与院内已有数据进行融合。在授权范围内关联同一患者在不同机构、不同系统中的记录，对身份匹配存疑或关联错误的情况进行核验纠正。按中心和项目反馈质量问题，支持整改、复核和处理状态跟踪；统一管理数据定义、来源和更新规则，支持标准版本变更追溯。</w:t>
      </w:r>
    </w:p>
    <w:p w14:paraId="366B1BAB">
      <w:pPr>
        <w:pStyle w:val="3"/>
        <w:keepNext/>
        <w:jc w:val="both"/>
        <w:rPr>
          <w:rFonts w:hint="default" w:eastAsia="Heiti SC"/>
          <w:lang w:val="en-US" w:eastAsia="zh-CN"/>
        </w:rPr>
      </w:pPr>
      <w:r>
        <w:rPr>
          <w:rFonts w:hint="eastAsia"/>
          <w:lang w:val="en-US" w:eastAsia="zh-CN"/>
        </w:rPr>
        <w:t>5.多中心机构与数据资源管理</w:t>
      </w:r>
    </w:p>
    <w:p w14:paraId="53727C57">
      <w:pPr>
        <w:jc w:val="both"/>
      </w:pPr>
      <w:r>
        <w:rPr>
          <w:rFonts w:hint="eastAsia"/>
          <w:lang w:val="en-US" w:eastAsia="zh-CN"/>
        </w:rPr>
        <w:t>统一维护联盟、主中心及分中心的机构信息、联系人、参与项目和合作状态，建立各中心数据资源台账，掌握覆盖病种、病例规模、数据质量、数据时间范围及可用情况。支持用户与所属机构关联，统一管理各中心的数据目录、研究队列和科研数据集，明确数据归属及使用范围。可按统一病例筛选条件和纳入排除标准开展多中心检索，在授权范围内汇总符合条件的病例数量及中心分布，支持检索条件保存与复用，为研究可行性评估、中心选择和联合队列构建提供依据。</w:t>
      </w:r>
    </w:p>
    <w:p w14:paraId="14966CEF">
      <w:pPr>
        <w:pStyle w:val="3"/>
        <w:keepNext/>
        <w:jc w:val="both"/>
      </w:pPr>
      <w:r>
        <w:rPr>
          <w:rFonts w:hint="eastAsia"/>
          <w:lang w:val="en-US" w:eastAsia="zh-CN"/>
        </w:rPr>
        <w:t>6.多中心数据查询共享</w:t>
      </w:r>
    </w:p>
    <w:p w14:paraId="223D1F7E">
      <w:pPr>
        <w:jc w:val="both"/>
      </w:pPr>
      <w:r>
        <w:t>提供患者全景视图，集中展示患者历次就诊、诊断、检查、检验、治疗及随访信息，并标识数据来源机构。支持关键词和多条件组合查询，按机构、项目和角色授权提供标准化、脱敏后的数据。支持在授权科研队列上开展数据预处理、描述性统计、中心间比较及常用统计分析，形成可视化图表和研究结果，并关联至对应项目及数据集版本。数据和分析结果可经审批导出，保留操作记录。提供标准数据服务接口，满足多中心科研、医联体协作、公共卫生上报、医保结算对接等数据共享需求，为高质量数据集加工生产、医学人工智能研发及影像组学分析提供数据服务。</w:t>
      </w:r>
    </w:p>
    <w:p w14:paraId="142B8550">
      <w:pPr>
        <w:pStyle w:val="3"/>
        <w:keepNext/>
        <w:jc w:val="both"/>
      </w:pPr>
      <w:r>
        <w:rPr>
          <w:rFonts w:hint="eastAsia"/>
          <w:lang w:val="en-US" w:eastAsia="zh-CN"/>
        </w:rPr>
        <w:t>7</w:t>
      </w:r>
      <w:r>
        <w:rPr>
          <w:rFonts w:hint="eastAsia"/>
          <w:lang w:eastAsia="zh-CN"/>
        </w:rPr>
        <w:t>.</w:t>
      </w:r>
      <w:r>
        <w:t>数据安全与合规</w:t>
      </w:r>
    </w:p>
    <w:p w14:paraId="5810E534">
      <w:pPr>
        <w:jc w:val="both"/>
      </w:pPr>
      <w:r>
        <w:t>建立覆盖数据采集、传输、存储、使用和共享全过程的安全管理机制，对病历文本、医学影像等资料中的患者姓名、证件号码、联系方式等敏感信息识别与脱敏。按机构、项目、科室、角色和数据类别配置访问、使用及导出权限，各中心默认访问本中心授权数据，跨中心查询、共享和分析须取得相应授权，汇总看板与数据明细遵循一致的权限规则。明确系统管理、安全管理和审计职责，支持合作机构账号审核、权限调整及退出停用。记录数据采集、查询、修改、共享及导出行为，支持导出审批、数据流向追踪和操作责任追溯，满足国家网络安全等级保护及个人信息保护等相关要求。</w:t>
      </w:r>
    </w:p>
    <w:p w14:paraId="60247CB5">
      <w:pPr>
        <w:pStyle w:val="3"/>
        <w:keepNext/>
        <w:jc w:val="both"/>
      </w:pPr>
      <w:r>
        <w:rPr>
          <w:rFonts w:hint="eastAsia"/>
          <w:lang w:val="en-US" w:eastAsia="zh-CN"/>
        </w:rPr>
        <w:t>8</w:t>
      </w:r>
      <w:r>
        <w:rPr>
          <w:rFonts w:hint="eastAsia"/>
          <w:lang w:eastAsia="zh-CN"/>
        </w:rPr>
        <w:t>.</w:t>
      </w:r>
      <w:r>
        <w:t>平台运行与维护</w:t>
      </w:r>
    </w:p>
    <w:p w14:paraId="147B3FC1">
      <w:pPr>
        <w:jc w:val="both"/>
      </w:pPr>
      <w:r>
        <w:t>提供统一运维管理入口，按中心和来源系统集中展示数据接入状态、采集任务进度、最近更新时间和接口运行情况。对采集异常、更新延迟、数据缺失及不一致等问题进行监测与告警，辅助定位受影响中心、项目及数据范围。支持平台与来源系统之间的数据一致性核对，覆盖数据量、数据内容和业务统计结果，发现差异后支持修复、复核及处理进度跟踪。支持新增合作中心接入配置及接入验证，保留运行日志和操作记录，保障各中心数据持续更新和平台稳定运行。</w:t>
      </w:r>
    </w:p>
    <w:p w14:paraId="1C2CCFBB">
      <w:pPr>
        <w:ind w:left="0" w:leftChars="0" w:firstLine="0" w:firstLineChars="0"/>
        <w:jc w:val="both"/>
        <w:rPr>
          <w:rFonts w:hint="default" w:ascii="Heiti SC" w:hAnsi="Heiti SC" w:eastAsia="Heiti SC" w:cs="Heiti SC"/>
          <w:b/>
          <w:bCs/>
          <w:i w:val="0"/>
          <w:iCs w:val="0"/>
          <w:color w:val="auto"/>
          <w:sz w:val="24"/>
          <w:szCs w:val="28"/>
          <w:lang w:val="en-US" w:eastAsia="zh-CN" w:bidi="ar-SA"/>
        </w:rPr>
      </w:pPr>
      <w:r>
        <w:rPr>
          <w:rFonts w:hint="eastAsia" w:ascii="Heiti SC" w:hAnsi="Heiti SC" w:eastAsia="Heiti SC" w:cs="Heiti SC"/>
          <w:b/>
          <w:bCs/>
          <w:i w:val="0"/>
          <w:iCs w:val="0"/>
          <w:color w:val="auto"/>
          <w:sz w:val="24"/>
          <w:szCs w:val="28"/>
          <w:lang w:val="en-US" w:eastAsia="zh-CN" w:bidi="ar-SA"/>
        </w:rPr>
        <w:t>二、多中心项目管理</w:t>
      </w:r>
    </w:p>
    <w:p w14:paraId="076EE1F1">
      <w:pPr>
        <w:pStyle w:val="3"/>
        <w:keepNext/>
        <w:jc w:val="both"/>
        <w:rPr>
          <w:i w:val="0"/>
          <w:iCs w:val="0"/>
          <w:color w:val="auto"/>
        </w:rPr>
      </w:pPr>
      <w:r>
        <w:rPr>
          <w:rFonts w:hint="eastAsia"/>
          <w:i w:val="0"/>
          <w:iCs w:val="0"/>
          <w:color w:val="auto"/>
          <w:lang w:val="en-US" w:eastAsia="zh-CN"/>
        </w:rPr>
        <w:t>1</w:t>
      </w:r>
      <w:r>
        <w:rPr>
          <w:rFonts w:hint="eastAsia"/>
          <w:i w:val="0"/>
          <w:iCs w:val="0"/>
          <w:color w:val="auto"/>
          <w:lang w:eastAsia="zh-CN"/>
        </w:rPr>
        <w:t>.</w:t>
      </w:r>
      <w:r>
        <w:rPr>
          <w:i w:val="0"/>
          <w:iCs w:val="0"/>
          <w:color w:val="auto"/>
        </w:rPr>
        <w:t>多中心项目全生命周期管理</w:t>
      </w:r>
    </w:p>
    <w:p w14:paraId="7B72CA25">
      <w:pPr>
        <w:jc w:val="both"/>
      </w:pPr>
      <w:r>
        <w:rPr>
          <w:rFonts w:hint="eastAsia" w:ascii="宋体" w:hAnsi="宋体" w:eastAsia="宋体"/>
          <w:i w:val="0"/>
          <w:iCs w:val="0"/>
          <w:color w:val="auto"/>
          <w:sz w:val="24"/>
          <w:szCs w:val="24"/>
          <w:lang w:val="en-US" w:eastAsia="zh-CN"/>
        </w:rPr>
        <w:t>提供统一的多中心科研协作入口，按项目关联主中心、参与机构、研究人员及研究队列，支持中心邀请、加入申请和参与状态管理。对接院内已有临床研究管理平台，同步项目主数据、立项至归档的关键状态，以及项目方案、知情同意书模板和伦理批件等准入材料；立项、伦理等审批流程与已有平台衔接。支持按统一纳入排除标准筛选研究对象，开展病例入组、任务分配和随访管理。提供电子病例报告表（eCRF）拖拽式搭建、授权数据自动回填、逻辑跳转及值域核查</w:t>
      </w:r>
      <w:bookmarkStart w:id="0" w:name="_GoBack"/>
      <w:bookmarkEnd w:id="0"/>
      <w:r>
        <w:rPr>
          <w:rFonts w:hint="eastAsia" w:ascii="宋体" w:hAnsi="宋体" w:eastAsia="宋体"/>
          <w:i w:val="0"/>
          <w:iCs w:val="0"/>
          <w:color w:val="auto"/>
          <w:sz w:val="24"/>
          <w:szCs w:val="24"/>
          <w:lang w:val="en-US" w:eastAsia="zh-CN"/>
        </w:rPr>
        <w:t>，各分中心可独立录入、核验和维护本中心项目数据。随访数据可回流至数据基座并与诊疗记录关联，按授权用于后续研究。统一跟踪入组、随访和质控问题处理进度，支持研究数据及成果归档，并将成果信息回传已有临床研究管理平台；数据保存期限及到期处置按项目要求和医院制度执行。</w:t>
      </w:r>
    </w:p>
    <w:p w14:paraId="2659A033">
      <w:pPr>
        <w:pStyle w:val="3"/>
        <w:keepNext/>
        <w:jc w:val="both"/>
        <w:rPr>
          <w:rFonts w:hint="eastAsia"/>
          <w:i w:val="0"/>
          <w:iCs w:val="0"/>
          <w:color w:val="auto"/>
          <w:lang w:val="en-US" w:eastAsia="zh-CN"/>
        </w:rPr>
      </w:pPr>
      <w:r>
        <w:rPr>
          <w:rFonts w:hint="eastAsia"/>
          <w:i w:val="0"/>
          <w:iCs w:val="0"/>
          <w:color w:val="auto"/>
          <w:lang w:val="en-US" w:eastAsia="zh-CN"/>
        </w:rPr>
        <w:t>2.多中心科研统一展示与管理驾驶舱</w:t>
      </w:r>
    </w:p>
    <w:p w14:paraId="73F73B3C">
      <w:pPr>
        <w:jc w:val="both"/>
      </w:pPr>
      <w:r>
        <w:rPr>
          <w:rFonts w:hint="eastAsia" w:ascii="宋体" w:hAnsi="宋体" w:eastAsia="宋体"/>
          <w:i w:val="0"/>
          <w:iCs w:val="0"/>
          <w:color w:val="auto"/>
          <w:sz w:val="24"/>
          <w:szCs w:val="24"/>
          <w:lang w:val="en-US" w:eastAsia="zh-CN"/>
        </w:rPr>
        <w:t>登录时选择中心、机构或项目等</w:t>
      </w:r>
      <w:r>
        <w:rPr>
          <w:rFonts w:hint="eastAsia"/>
          <w:i w:val="0"/>
          <w:iCs w:val="0"/>
          <w:color w:val="auto"/>
          <w:sz w:val="24"/>
          <w:szCs w:val="24"/>
          <w:lang w:val="en-US" w:eastAsia="zh-CN"/>
        </w:rPr>
        <w:t>，进入平台后直接展示对应院级、项目级和中心级可视化视图像，通过机构分布地图、汇总看板和统计报表，统一展示合作机构数量及分布、病例规模、病种分布、在研课题数量、回顾性与前瞻性项目分布及科研成果情况。可按中心、病种、项目和时间筛选、对比及下钻，查看各中心数据覆盖时间、最近更新时间、数据集更新情况和接入状态。统一展示入组进度、随访完成率、数据完整率及质控问题处理情况，辅助识别进度滞后和数据异常。主中心在授权范围内查看全局汇总及单中心视图，分中心查看本中心及获授权项目视图；各视图采用统一统计口径，并标明数据更新时间。</w:t>
      </w:r>
    </w:p>
    <w:sectPr>
      <w:pgSz w:w="11906" w:h="16838"/>
      <w:pgMar w:top="1247" w:right="1304" w:bottom="1247" w:left="1304" w:header="454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Heiti SC">
    <w:altName w:val="宋体"/>
    <w:panose1 w:val="02000000000000000000"/>
    <w:charset w:val="86"/>
    <w:family w:val="auto"/>
    <w:pitch w:val="default"/>
    <w:sig w:usb0="00000000" w:usb1="00000000" w:usb2="00000000" w:usb3="00000000" w:csb0="203E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nticon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u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coms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coms03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portal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vicon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dev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coms02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workflow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Human-resources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form-rule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cooperation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report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XcGJSymbol"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ongti SC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E43B13"/>
    <w:rsid w:val="0C2C5230"/>
    <w:rsid w:val="0CDB6FDB"/>
    <w:rsid w:val="0D156991"/>
    <w:rsid w:val="0E925DBF"/>
    <w:rsid w:val="121511E1"/>
    <w:rsid w:val="14796372"/>
    <w:rsid w:val="18D7297F"/>
    <w:rsid w:val="1A310B82"/>
    <w:rsid w:val="1EC2624D"/>
    <w:rsid w:val="1FDA6873"/>
    <w:rsid w:val="206C68EC"/>
    <w:rsid w:val="261455E0"/>
    <w:rsid w:val="2BE550E3"/>
    <w:rsid w:val="31725BAE"/>
    <w:rsid w:val="3692321F"/>
    <w:rsid w:val="39AE1450"/>
    <w:rsid w:val="3A461688"/>
    <w:rsid w:val="3BDFB204"/>
    <w:rsid w:val="3EDB4A95"/>
    <w:rsid w:val="42312C1E"/>
    <w:rsid w:val="552A59D6"/>
    <w:rsid w:val="553B69BA"/>
    <w:rsid w:val="5975743C"/>
    <w:rsid w:val="5B6559BA"/>
    <w:rsid w:val="61045C75"/>
    <w:rsid w:val="61CE56B2"/>
    <w:rsid w:val="6CCE7137"/>
    <w:rsid w:val="6D945BBA"/>
    <w:rsid w:val="6FCC795E"/>
    <w:rsid w:val="702C664F"/>
    <w:rsid w:val="75047B9A"/>
    <w:rsid w:val="7599DBFE"/>
    <w:rsid w:val="77D63457"/>
    <w:rsid w:val="7F9C16D9"/>
    <w:rsid w:val="BD0A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keepLines/>
      <w:widowControl/>
      <w:spacing w:after="0" w:line="390" w:lineRule="exact"/>
      <w:ind w:firstLine="480"/>
    </w:pPr>
    <w:rPr>
      <w:rFonts w:ascii="Songti SC" w:hAnsi="Songti SC" w:eastAsia="Songti SC" w:cs="Songti SC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80" w:after="80" w:line="320" w:lineRule="exact"/>
      <w:ind w:firstLine="0"/>
      <w:outlineLvl w:val="0"/>
    </w:pPr>
    <w:rPr>
      <w:rFonts w:ascii="Heiti SC" w:hAnsi="Heiti SC" w:eastAsia="Heiti SC" w:cs="Heiti SC"/>
      <w:b/>
      <w:bCs/>
      <w:color w:val="000000"/>
      <w:sz w:val="2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spacing w:before="0" w:after="60" w:line="440" w:lineRule="exact"/>
      <w:ind w:firstLine="0"/>
      <w:contextualSpacing/>
      <w:jc w:val="center"/>
    </w:pPr>
    <w:rPr>
      <w:rFonts w:ascii="Heiti SC" w:hAnsi="Heiti SC" w:eastAsia="Heiti SC" w:cs="Heiti SC"/>
      <w:b/>
      <w:color w:val="000000"/>
      <w:spacing w:val="5"/>
      <w:kern w:val="28"/>
      <w:sz w:val="34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2761</Words>
  <Characters>2788</Characters>
  <Lines>0</Lines>
  <Paragraphs>0</Paragraphs>
  <TotalTime>11</TotalTime>
  <ScaleCrop>false</ScaleCrop>
  <LinksUpToDate>false</LinksUpToDate>
  <CharactersWithSpaces>2788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起风了就走</dc:creator>
  <cp:lastModifiedBy>白银铃</cp:lastModifiedBy>
  <dcterms:modified xsi:type="dcterms:W3CDTF">2026-09-29T04:13:33Z</dcterms:modified>
  <dc:subject>阳光推介功能需求</dc:subject>
  <dc:title>重庆医科大学附属第二医院统一数据基座平台功能需求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B1DD99C96A9144EDB67B089C71F935C8_13</vt:lpwstr>
  </property>
  <property fmtid="{D5CDD505-2E9C-101B-9397-08002B2CF9AE}" pid="4" name="KSOTemplateDocerSaveRecord">
    <vt:lpwstr>eyJoZGlkIjoiYWYxOTFjYzI3OTBhYTRiNzczOTYxMzM0NWJhNTc3MjQiLCJ1c2VySWQiOiIxNzIwMDIyOTEzIn0=</vt:lpwstr>
  </property>
</Properties>
</file>