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9A108">
      <w:pPr>
        <w:widowControl/>
        <w:spacing w:line="360" w:lineRule="auto"/>
        <w:jc w:val="center"/>
        <w:outlineLvl w:val="1"/>
        <w:rPr>
          <w:rFonts w:ascii="宋体" w:hAnsi="宋体" w:cs="宋体"/>
          <w:b/>
          <w:bCs/>
          <w:color w:val="000000"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bCs/>
          <w:sz w:val="44"/>
          <w:szCs w:val="44"/>
          <w:lang w:val="en-US" w:eastAsia="zh-CN"/>
        </w:rPr>
        <w:t>门诊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诊间分诊屏采购推介会要求</w:t>
      </w:r>
    </w:p>
    <w:p w14:paraId="2F33327E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一、基本情况</w:t>
      </w:r>
    </w:p>
    <w:p w14:paraId="0E7DD335">
      <w:pPr>
        <w:widowControl/>
        <w:numPr>
          <w:ilvl w:val="0"/>
          <w:numId w:val="1"/>
        </w:numPr>
        <w:spacing w:line="360" w:lineRule="auto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项目名称</w:t>
      </w:r>
    </w:p>
    <w:p w14:paraId="1BDDDDD2">
      <w:pPr>
        <w:widowControl/>
        <w:spacing w:line="360" w:lineRule="auto"/>
        <w:ind w:firstLine="420" w:firstLineChars="200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诊间分诊屏采购</w:t>
      </w:r>
    </w:p>
    <w:p w14:paraId="18DEE7CC">
      <w:pPr>
        <w:widowControl/>
        <w:numPr>
          <w:ilvl w:val="0"/>
          <w:numId w:val="1"/>
        </w:numPr>
        <w:spacing w:line="360" w:lineRule="auto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现状</w:t>
      </w:r>
    </w:p>
    <w:p w14:paraId="04CDFA83">
      <w:pPr>
        <w:pStyle w:val="2"/>
        <w:spacing w:before="100" w:after="100"/>
        <w:ind w:firstLine="420" w:firstLineChars="200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无</w:t>
      </w:r>
    </w:p>
    <w:p w14:paraId="1CFC923F">
      <w:pPr>
        <w:widowControl/>
        <w:numPr>
          <w:ilvl w:val="0"/>
          <w:numId w:val="1"/>
        </w:numPr>
        <w:spacing w:line="360" w:lineRule="auto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项目需求</w:t>
      </w:r>
    </w:p>
    <w:p w14:paraId="01519B9C">
      <w:pPr>
        <w:numPr>
          <w:ilvl w:val="0"/>
          <w:numId w:val="2"/>
        </w:numPr>
        <w:tabs>
          <w:tab w:val="left" w:pos="-420"/>
          <w:tab w:val="clear" w:pos="312"/>
        </w:tabs>
        <w:spacing w:line="360" w:lineRule="auto"/>
        <w:ind w:firstLine="420" w:firstLineChars="200"/>
        <w:jc w:val="left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/>
          <w:szCs w:val="21"/>
        </w:rPr>
        <w:t>本次需采购2</w:t>
      </w:r>
      <w:r>
        <w:rPr>
          <w:rFonts w:ascii="宋体" w:hAnsi="宋体"/>
          <w:szCs w:val="21"/>
        </w:rPr>
        <w:t>0</w:t>
      </w:r>
      <w:r>
        <w:rPr>
          <w:rFonts w:hint="eastAsia" w:ascii="宋体" w:hAnsi="宋体"/>
          <w:szCs w:val="21"/>
        </w:rPr>
        <w:t>台诊间分诊屏</w:t>
      </w:r>
    </w:p>
    <w:p w14:paraId="76961DCD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二、资格要求</w:t>
      </w:r>
    </w:p>
    <w:p w14:paraId="6C67F95C">
      <w:pPr>
        <w:widowControl/>
        <w:numPr>
          <w:ilvl w:val="0"/>
          <w:numId w:val="3"/>
        </w:numPr>
        <w:spacing w:line="360" w:lineRule="auto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基本资格条件</w:t>
      </w:r>
    </w:p>
    <w:p w14:paraId="371E3F23">
      <w:pPr>
        <w:tabs>
          <w:tab w:val="left" w:pos="-420"/>
        </w:tabs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</w:t>
      </w:r>
      <w:r>
        <w:rPr>
          <w:rFonts w:ascii="宋体" w:hAnsi="宋体"/>
          <w:szCs w:val="21"/>
        </w:rPr>
        <w:t>.</w:t>
      </w:r>
      <w:r>
        <w:rPr>
          <w:rFonts w:hint="eastAsia" w:ascii="宋体" w:hAnsi="宋体"/>
          <w:szCs w:val="21"/>
        </w:rPr>
        <w:t>具有独立承担民事责任的能力；</w:t>
      </w:r>
    </w:p>
    <w:p w14:paraId="356676FD">
      <w:pPr>
        <w:tabs>
          <w:tab w:val="left" w:pos="-420"/>
        </w:tabs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</w:t>
      </w:r>
      <w:r>
        <w:rPr>
          <w:rFonts w:ascii="宋体" w:hAnsi="宋体"/>
          <w:szCs w:val="21"/>
        </w:rPr>
        <w:t>.</w:t>
      </w:r>
      <w:r>
        <w:rPr>
          <w:rFonts w:hint="eastAsia" w:ascii="宋体" w:hAnsi="宋体"/>
          <w:szCs w:val="21"/>
        </w:rPr>
        <w:t>具有良好的商业信誉和健全的财务会计制度；</w:t>
      </w:r>
    </w:p>
    <w:p w14:paraId="76BB662C">
      <w:pPr>
        <w:tabs>
          <w:tab w:val="left" w:pos="-420"/>
        </w:tabs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</w:t>
      </w:r>
      <w:r>
        <w:rPr>
          <w:rFonts w:ascii="宋体" w:hAnsi="宋体"/>
          <w:szCs w:val="21"/>
        </w:rPr>
        <w:t>.</w:t>
      </w:r>
      <w:r>
        <w:rPr>
          <w:rFonts w:hint="eastAsia" w:ascii="宋体" w:hAnsi="宋体"/>
          <w:szCs w:val="21"/>
        </w:rPr>
        <w:t>具有履行合同所必需的设备和专业技术能力；</w:t>
      </w:r>
    </w:p>
    <w:p w14:paraId="25EED410">
      <w:pPr>
        <w:tabs>
          <w:tab w:val="left" w:pos="-420"/>
        </w:tabs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</w:t>
      </w:r>
      <w:r>
        <w:rPr>
          <w:rFonts w:ascii="宋体" w:hAnsi="宋体"/>
          <w:szCs w:val="21"/>
        </w:rPr>
        <w:t>.</w:t>
      </w:r>
      <w:r>
        <w:rPr>
          <w:rFonts w:hint="eastAsia" w:ascii="宋体" w:hAnsi="宋体"/>
          <w:szCs w:val="21"/>
        </w:rPr>
        <w:t>有依法缴纳税收和社会保障资金的良好记录；</w:t>
      </w:r>
    </w:p>
    <w:p w14:paraId="152919A9">
      <w:pPr>
        <w:tabs>
          <w:tab w:val="left" w:pos="-420"/>
        </w:tabs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</w:t>
      </w:r>
      <w:r>
        <w:rPr>
          <w:rFonts w:ascii="宋体" w:hAnsi="宋体"/>
          <w:szCs w:val="21"/>
        </w:rPr>
        <w:t>.</w:t>
      </w:r>
      <w:r>
        <w:rPr>
          <w:rFonts w:hint="eastAsia" w:ascii="宋体" w:hAnsi="宋体"/>
          <w:szCs w:val="21"/>
        </w:rPr>
        <w:t>参加政府采购活动前三年内，在经营活动中没有重大违法记录；</w:t>
      </w:r>
    </w:p>
    <w:p w14:paraId="4410A306">
      <w:pPr>
        <w:tabs>
          <w:tab w:val="left" w:pos="-420"/>
        </w:tabs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6</w:t>
      </w:r>
      <w:r>
        <w:rPr>
          <w:rFonts w:ascii="宋体" w:hAnsi="宋体"/>
          <w:szCs w:val="21"/>
        </w:rPr>
        <w:t>.</w:t>
      </w:r>
      <w:r>
        <w:rPr>
          <w:rFonts w:hint="eastAsia" w:ascii="宋体" w:hAnsi="宋体"/>
          <w:szCs w:val="21"/>
        </w:rPr>
        <w:t>法律、行政法规规定的其他条件。</w:t>
      </w:r>
    </w:p>
    <w:p w14:paraId="47B84BCE">
      <w:pPr>
        <w:widowControl/>
        <w:numPr>
          <w:ilvl w:val="0"/>
          <w:numId w:val="3"/>
        </w:numPr>
        <w:spacing w:line="360" w:lineRule="auto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特定资格条件</w:t>
      </w:r>
    </w:p>
    <w:p w14:paraId="5DB00282">
      <w:pPr>
        <w:pStyle w:val="2"/>
        <w:spacing w:before="100" w:after="100"/>
        <w:ind w:firstLine="420" w:firstLineChars="200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无</w:t>
      </w:r>
    </w:p>
    <w:p w14:paraId="74EFB501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三、现场勘查</w:t>
      </w:r>
    </w:p>
    <w:p w14:paraId="00833BD5">
      <w:pPr>
        <w:pStyle w:val="5"/>
        <w:spacing w:beforeAutospacing="0" w:afterAutospacing="0" w:line="360" w:lineRule="auto"/>
        <w:ind w:firstLine="420" w:firstLineChars="20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勘查时间：投标人应于报名截止之前进行现场勘查。</w:t>
      </w:r>
    </w:p>
    <w:p w14:paraId="1238A7E8">
      <w:pPr>
        <w:pStyle w:val="5"/>
        <w:spacing w:beforeAutospacing="0" w:afterAutospacing="0" w:line="360" w:lineRule="auto"/>
        <w:ind w:firstLine="420" w:firstLineChars="200"/>
        <w:rPr>
          <w:rFonts w:ascii="宋体" w:hAnsi="宋体" w:cs="宋体"/>
          <w:color w:val="FF0000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联系人： </w:t>
      </w:r>
      <w:r>
        <w:rPr>
          <w:rFonts w:ascii="宋体" w:hAnsi="宋体" w:cs="宋体"/>
          <w:sz w:val="21"/>
          <w:szCs w:val="21"/>
        </w:rPr>
        <w:t xml:space="preserve"> </w:t>
      </w:r>
      <w:r>
        <w:rPr>
          <w:rFonts w:hint="eastAsia" w:ascii="Times New Roman" w:hAnsi="Times New Roman"/>
          <w:sz w:val="21"/>
          <w:szCs w:val="21"/>
        </w:rPr>
        <w:t>张秋</w:t>
      </w:r>
      <w:r>
        <w:rPr>
          <w:rFonts w:ascii="Times New Roman" w:hAnsi="Times New Roman"/>
          <w:sz w:val="21"/>
          <w:szCs w:val="21"/>
        </w:rPr>
        <w:t>（联系电话：</w:t>
      </w:r>
      <w:r>
        <w:rPr>
          <w:rFonts w:hint="eastAsia" w:ascii="Times New Roman" w:hAnsi="Times New Roman"/>
          <w:sz w:val="21"/>
          <w:szCs w:val="21"/>
        </w:rPr>
        <w:t>18883665430</w:t>
      </w:r>
      <w:r>
        <w:rPr>
          <w:rFonts w:ascii="Times New Roman" w:hAnsi="Times New Roman"/>
          <w:sz w:val="21"/>
          <w:szCs w:val="21"/>
        </w:rPr>
        <w:t>）</w:t>
      </w:r>
    </w:p>
    <w:p w14:paraId="4921B31F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四、详细需求</w:t>
      </w:r>
    </w:p>
    <w:p w14:paraId="59E1CE3D">
      <w:pPr>
        <w:widowControl/>
        <w:spacing w:line="360" w:lineRule="auto"/>
        <w:ind w:left="420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（一）设备参数要求</w:t>
      </w:r>
    </w:p>
    <w:p w14:paraId="01FCBBED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1.屏幕尺寸:  ≥21寸；</w:t>
      </w:r>
    </w:p>
    <w:p w14:paraId="3629A458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2.分辨率：≥1920*1080；</w:t>
      </w:r>
    </w:p>
    <w:p w14:paraId="6801568D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3.CPU：四核64位处理器，主频≥1.0GHz（架构：ARM Cortex-A53或同等性能以上）</w:t>
      </w:r>
    </w:p>
    <w:p w14:paraId="41C2776C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4.GPU：</w:t>
      </w:r>
      <w:bookmarkStart w:id="0" w:name="_GoBack"/>
      <w:bookmarkEnd w:id="0"/>
      <w:r>
        <w:rPr>
          <w:rFonts w:hint="eastAsia" w:ascii="宋体" w:hAnsi="宋体" w:cs="宋体"/>
          <w:kern w:val="0"/>
          <w:szCs w:val="21"/>
        </w:rPr>
        <w:t>集成图形处理器，支持3D渲染及OpenGL ES 2.0及以上版本</w:t>
      </w:r>
    </w:p>
    <w:p w14:paraId="53F4863F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5.内存与存储：≥2GB DDR3/DDR4及 ≥16GB</w:t>
      </w:r>
    </w:p>
    <w:p w14:paraId="5269FBAB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6.显示屏：工业屏 支持7×24小时连续开机、宽温工作（0-50°C）；背光寿命≥50000小时</w:t>
      </w:r>
    </w:p>
    <w:p w14:paraId="1C1802E2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7.系统版本：Android 9.0或以上版本</w:t>
      </w:r>
    </w:p>
    <w:p w14:paraId="0BB93AB3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8.单屏厚度：≤35mm，窄边框，平面背板，支持贴墙安装</w:t>
      </w:r>
    </w:p>
    <w:p w14:paraId="0CCFC02A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9.网络接口：10M/100M </w:t>
      </w:r>
      <w:r>
        <w:rPr>
          <w:rFonts w:hint="eastAsia" w:ascii="宋体" w:hAnsi="宋体" w:cs="宋体"/>
          <w:kern w:val="0"/>
          <w:szCs w:val="21"/>
          <w:lang w:eastAsia="zh-CN"/>
        </w:rPr>
        <w:t>或</w:t>
      </w:r>
      <w:r>
        <w:rPr>
          <w:rFonts w:hint="eastAsia" w:ascii="宋体" w:hAnsi="宋体" w:cs="宋体"/>
          <w:kern w:val="0"/>
          <w:szCs w:val="21"/>
        </w:rPr>
        <w:t>更高带宽的自适应以太网口</w:t>
      </w:r>
    </w:p>
    <w:p w14:paraId="546C9500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10.数据接口：≥USB2.0*2</w:t>
      </w:r>
    </w:p>
    <w:p w14:paraId="2E6542AD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11.蓝牙：支持BT 4.2及以上</w:t>
      </w:r>
    </w:p>
    <w:p w14:paraId="7671A8D5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12.屏幕比例：16:9</w:t>
      </w:r>
    </w:p>
    <w:p w14:paraId="5BFBB03B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13.面板亮度：≥280cd/m2</w:t>
      </w:r>
    </w:p>
    <w:p w14:paraId="40F173F2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14.色彩度：16.7M及以上</w:t>
      </w:r>
    </w:p>
    <w:p w14:paraId="4B81BF49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15.对比度：≥1000:1</w:t>
      </w:r>
    </w:p>
    <w:p w14:paraId="2F635258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16.材质：抗菌材质支持医院消毒级清洁</w:t>
      </w:r>
    </w:p>
    <w:p w14:paraId="7F443984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17.终端客户端软件: 需安装现有排队叫号系统</w:t>
      </w:r>
      <w:r>
        <w:rPr>
          <w:rFonts w:ascii="宋体" w:hAnsi="宋体" w:cs="宋体"/>
          <w:szCs w:val="21"/>
        </w:rPr>
        <w:t xml:space="preserve"> </w:t>
      </w:r>
    </w:p>
    <w:p w14:paraId="623890AF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18.认证：整机产品符合国家 3C 认证要求；整机产品符合国家相关能效标准</w:t>
      </w:r>
    </w:p>
    <w:p w14:paraId="592CD0A2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19.扬声器：内置双立体声扬声器，功率≥3W×2，频响范围需覆盖人声频段，确保播报清晰无破音。</w:t>
      </w:r>
    </w:p>
    <w:p w14:paraId="0ECE5E90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音频接口：预留3.5mm音频输出接口，支持外接吸顶喇叭或定向音箱（应对嘈杂环境）。</w:t>
      </w:r>
    </w:p>
    <w:p w14:paraId="32290AA1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20.屏幕防护与耐用性:</w:t>
      </w:r>
    </w:p>
    <w:p w14:paraId="634C4628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防护玻璃：必须配备≥4H硬度钢化玻璃或AG防眩光磨砂玻璃，防止反光及指纹残留。</w:t>
      </w:r>
    </w:p>
    <w:p w14:paraId="4C9B8FD2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防撞设计：屏幕边缘需有金属或高强度塑料包边，四角做R角缓冲处理，防止意外磕碰碎裂。</w:t>
      </w:r>
    </w:p>
    <w:p w14:paraId="7ED1893D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防护等级：整机防护等级≥IP54（防尘防水溅），便于日常使用酒精湿巾进行高频次消毒擦拭而不损坏涂层。</w:t>
      </w:r>
    </w:p>
    <w:p w14:paraId="639C52FC">
      <w:pPr>
        <w:pStyle w:val="12"/>
        <w:tabs>
          <w:tab w:val="left" w:pos="459"/>
        </w:tabs>
        <w:adjustRightInd w:val="0"/>
        <w:snapToGrid w:val="0"/>
        <w:ind w:left="34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安装方式：标配VESA接口（75×75mm或100×100mm）或专用防盗壁挂支架，支持锁具固定，防止设备被盗或移位</w:t>
      </w:r>
    </w:p>
    <w:p w14:paraId="66149389">
      <w:pPr>
        <w:pStyle w:val="12"/>
        <w:tabs>
          <w:tab w:val="left" w:pos="459"/>
        </w:tabs>
        <w:adjustRightInd w:val="0"/>
        <w:snapToGrid w:val="0"/>
        <w:spacing w:line="320" w:lineRule="exact"/>
        <w:ind w:left="32" w:firstLine="440"/>
        <w:rPr>
          <w:rFonts w:ascii="宋体" w:hAnsi="宋体" w:cs="宋体"/>
          <w:sz w:val="22"/>
        </w:rPr>
      </w:pPr>
    </w:p>
    <w:p w14:paraId="49A6CE29">
      <w:pPr>
        <w:rPr>
          <w:rFonts w:ascii="宋体" w:hAnsi="宋体" w:cs="宋体"/>
          <w:szCs w:val="21"/>
        </w:rPr>
      </w:pPr>
      <w:r>
        <w:rPr>
          <w:rFonts w:ascii="Times New Roman" w:hAnsi="Times New Roman"/>
          <w:b/>
          <w:bCs/>
          <w:szCs w:val="21"/>
        </w:rPr>
        <w:t>注：</w:t>
      </w:r>
      <w:r>
        <w:rPr>
          <w:rFonts w:hint="eastAsia" w:ascii="宋体" w:hAnsi="宋体" w:cs="宋体"/>
          <w:szCs w:val="21"/>
        </w:rPr>
        <w:t>本项目技术参数中如提及特定品牌或型号，仅作技术性能参考，投标人可提供满足本项目技术要求的其他同等性能产品。如投标人所投产品品牌/型号与参考品牌不同，须在投标文件中详细说明所投产品的技术参数及性能指标，并由采购人进行符合性审查。</w:t>
      </w:r>
    </w:p>
    <w:p w14:paraId="3D1D78C7">
      <w:pPr>
        <w:widowControl/>
        <w:spacing w:line="360" w:lineRule="auto"/>
        <w:ind w:left="420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（二）数据对接服务</w:t>
      </w:r>
    </w:p>
    <w:p w14:paraId="0A881CD2">
      <w:pPr>
        <w:pStyle w:val="2"/>
        <w:ind w:firstLine="420" w:firstLineChars="200"/>
      </w:pPr>
      <w:r>
        <w:rPr>
          <w:rFonts w:ascii="宋体" w:hAnsi="宋体" w:cs="宋体"/>
          <w:b w:val="0"/>
          <w:bCs w:val="0"/>
          <w:sz w:val="21"/>
          <w:szCs w:val="21"/>
        </w:rPr>
        <w:t>本次项目采购产品用于</w:t>
      </w:r>
      <w:r>
        <w:rPr>
          <w:rFonts w:hint="eastAsia" w:ascii="宋体" w:hAnsi="宋体" w:cs="宋体"/>
          <w:b w:val="0"/>
          <w:bCs w:val="0"/>
          <w:sz w:val="21"/>
          <w:szCs w:val="21"/>
        </w:rPr>
        <w:t>分诊</w:t>
      </w:r>
      <w:r>
        <w:rPr>
          <w:rFonts w:ascii="宋体" w:hAnsi="宋体" w:cs="宋体"/>
          <w:b w:val="0"/>
          <w:bCs w:val="0"/>
          <w:sz w:val="21"/>
          <w:szCs w:val="21"/>
        </w:rPr>
        <w:t>排队信息显示。</w:t>
      </w:r>
      <w:r>
        <w:rPr>
          <w:rFonts w:hint="eastAsia" w:ascii="宋体" w:hAnsi="宋体" w:cs="宋体"/>
          <w:b w:val="0"/>
          <w:bCs w:val="0"/>
          <w:sz w:val="21"/>
          <w:szCs w:val="21"/>
        </w:rPr>
        <w:t>报价</w:t>
      </w:r>
      <w:r>
        <w:rPr>
          <w:rFonts w:ascii="宋体" w:hAnsi="宋体" w:cs="宋体"/>
          <w:b w:val="0"/>
          <w:bCs w:val="0"/>
          <w:sz w:val="21"/>
          <w:szCs w:val="21"/>
        </w:rPr>
        <w:t>包含终端客户端软件接口兼容性测试及硬件适配费用。</w:t>
      </w:r>
      <w:r>
        <w:rPr>
          <w:rFonts w:hint="eastAsia" w:ascii="宋体" w:hAnsi="宋体" w:cs="宋体"/>
          <w:b w:val="0"/>
          <w:bCs w:val="0"/>
          <w:sz w:val="21"/>
          <w:szCs w:val="21"/>
        </w:rPr>
        <w:t>要求</w:t>
      </w:r>
      <w:r>
        <w:rPr>
          <w:rFonts w:ascii="宋体" w:hAnsi="宋体" w:cs="宋体"/>
          <w:b w:val="0"/>
          <w:bCs w:val="0"/>
          <w:sz w:val="21"/>
          <w:szCs w:val="21"/>
        </w:rPr>
        <w:t>完成数据对接实现数据实时同步、队列状态联动等功能联调。安装调试所需耗材配件、施工等</w:t>
      </w:r>
      <w:r>
        <w:rPr>
          <w:rFonts w:hint="eastAsia" w:ascii="宋体" w:hAnsi="宋体" w:cs="宋体"/>
          <w:b w:val="0"/>
          <w:bCs w:val="0"/>
          <w:sz w:val="21"/>
          <w:szCs w:val="21"/>
        </w:rPr>
        <w:t>不另算</w:t>
      </w:r>
      <w:r>
        <w:rPr>
          <w:rFonts w:ascii="宋体" w:hAnsi="宋体" w:cs="宋体"/>
          <w:b w:val="0"/>
          <w:bCs w:val="0"/>
          <w:sz w:val="21"/>
          <w:szCs w:val="21"/>
        </w:rPr>
        <w:t>费用。</w:t>
      </w:r>
    </w:p>
    <w:p w14:paraId="677766EC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 xml:space="preserve"> </w:t>
      </w:r>
      <w:r>
        <w:rPr>
          <w:rFonts w:ascii="宋体" w:hAnsi="宋体" w:cs="宋体"/>
          <w:b/>
          <w:bCs/>
          <w:color w:val="000000"/>
          <w:szCs w:val="21"/>
        </w:rPr>
        <w:t xml:space="preserve">   </w:t>
      </w:r>
    </w:p>
    <w:p w14:paraId="258E3BE1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五、质保时间</w:t>
      </w:r>
    </w:p>
    <w:p w14:paraId="3EBA3FD0">
      <w:pPr>
        <w:pStyle w:val="2"/>
        <w:ind w:firstLine="420" w:firstLineChars="200"/>
      </w:pPr>
      <w:r>
        <w:rPr>
          <w:rFonts w:ascii="宋体" w:hAnsi="宋体" w:cs="宋体"/>
          <w:b w:val="0"/>
          <w:bCs w:val="0"/>
          <w:sz w:val="21"/>
          <w:szCs w:val="21"/>
        </w:rPr>
        <w:t>5</w:t>
      </w:r>
      <w:r>
        <w:rPr>
          <w:rFonts w:hint="eastAsia" w:ascii="宋体" w:hAnsi="宋体" w:cs="宋体"/>
          <w:b w:val="0"/>
          <w:bCs w:val="0"/>
          <w:sz w:val="21"/>
          <w:szCs w:val="21"/>
        </w:rPr>
        <w:t>年</w:t>
      </w:r>
    </w:p>
    <w:p w14:paraId="3C289F5D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六、报价要求</w:t>
      </w:r>
    </w:p>
    <w:p w14:paraId="15133AAE">
      <w:pPr>
        <w:pStyle w:val="5"/>
        <w:spacing w:beforeAutospacing="0" w:afterAutospacing="0" w:line="360" w:lineRule="auto"/>
        <w:ind w:firstLine="420" w:firstLineChars="200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请根据上述要求，结合自身情况进行报价，提供同一型号设备单一报价、整个服务期所有设备的总价。</w:t>
      </w:r>
    </w:p>
    <w:p w14:paraId="325E7D42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七、评选方式</w:t>
      </w:r>
    </w:p>
    <w:p w14:paraId="584DB6C1">
      <w:pPr>
        <w:pStyle w:val="2"/>
        <w:ind w:firstLine="420" w:firstLineChars="200"/>
      </w:pPr>
      <w:r>
        <w:rPr>
          <w:rFonts w:hint="eastAsia" w:ascii="宋体" w:hAnsi="宋体" w:cs="宋体"/>
          <w:b w:val="0"/>
          <w:bCs w:val="0"/>
          <w:sz w:val="21"/>
          <w:szCs w:val="21"/>
        </w:rPr>
        <w:t>无</w:t>
      </w:r>
    </w:p>
    <w:p w14:paraId="37B3EE59">
      <w:pPr>
        <w:pStyle w:val="5"/>
        <w:numPr>
          <w:ilvl w:val="0"/>
          <w:numId w:val="4"/>
        </w:numPr>
        <w:spacing w:beforeAutospacing="0" w:afterAutospacing="0" w:line="360" w:lineRule="auto"/>
        <w:rPr>
          <w:rFonts w:ascii="宋体" w:hAnsi="宋体" w:cs="宋体"/>
          <w:b/>
          <w:bCs/>
          <w:color w:val="000000"/>
          <w:kern w:val="2"/>
          <w:sz w:val="21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2"/>
          <w:sz w:val="21"/>
          <w:szCs w:val="21"/>
        </w:rPr>
        <w:t>业绩要求</w:t>
      </w:r>
    </w:p>
    <w:p w14:paraId="2C39DEE6">
      <w:pPr>
        <w:pStyle w:val="5"/>
        <w:spacing w:beforeAutospacing="0" w:afterAutospacing="0" w:line="360" w:lineRule="auto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 xml:space="preserve">    无</w:t>
      </w:r>
    </w:p>
    <w:p w14:paraId="0C783378">
      <w:pPr>
        <w:pStyle w:val="5"/>
        <w:numPr>
          <w:ilvl w:val="0"/>
          <w:numId w:val="4"/>
        </w:numPr>
        <w:spacing w:beforeAutospacing="0" w:afterAutospacing="0" w:line="360" w:lineRule="auto"/>
        <w:rPr>
          <w:rFonts w:ascii="宋体" w:hAnsi="宋体" w:cs="宋体"/>
          <w:b/>
          <w:bCs/>
          <w:color w:val="000000"/>
          <w:kern w:val="2"/>
          <w:sz w:val="21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2"/>
          <w:sz w:val="21"/>
          <w:szCs w:val="21"/>
        </w:rPr>
        <w:t>保密条款</w:t>
      </w:r>
    </w:p>
    <w:p w14:paraId="7C06FA34">
      <w:pPr>
        <w:pStyle w:val="5"/>
        <w:spacing w:beforeAutospacing="0" w:afterAutospacing="0" w:line="360" w:lineRule="auto"/>
        <w:rPr>
          <w:rFonts w:ascii="宋体" w:hAnsi="宋体" w:cs="宋体"/>
          <w:b/>
          <w:bCs/>
          <w:color w:val="000000"/>
          <w:kern w:val="2"/>
          <w:sz w:val="21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2"/>
          <w:sz w:val="21"/>
          <w:szCs w:val="21"/>
        </w:rPr>
        <w:t xml:space="preserve">    </w:t>
      </w:r>
      <w:r>
        <w:rPr>
          <w:rFonts w:hint="eastAsia" w:ascii="宋体" w:hAnsi="宋体" w:cs="宋体"/>
          <w:color w:val="000000"/>
          <w:sz w:val="21"/>
          <w:szCs w:val="21"/>
        </w:rPr>
        <w:t>中标人及其所有参与本项目的项目经理、驻场及维保工程师，应当严格遵守《中华人民共和国网络安全法》《中华人民共和国个人信息保护法》及医院内部信息安全、数据保密管理相关制度，对在维保实施、巡检、故障处置过程中接触到的医院网络拓扑、硬件资产信息、业务系统配置、医疗业务数据、患者隐私信息、账号口令、内部文档资料等全部信息承担永久保密责任，不因本服务合同终止而失效。</w:t>
      </w:r>
    </w:p>
    <w:p w14:paraId="567091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606C30"/>
    <w:multiLevelType w:val="singleLevel"/>
    <w:tmpl w:val="CC606C30"/>
    <w:lvl w:ilvl="0" w:tentative="0">
      <w:start w:val="1"/>
      <w:numFmt w:val="chineseCounting"/>
      <w:suff w:val="nothing"/>
      <w:lvlText w:val="（%1）"/>
      <w:lvlJc w:val="left"/>
      <w:pPr>
        <w:ind w:left="-136" w:firstLine="420"/>
      </w:pPr>
      <w:rPr>
        <w:rFonts w:hint="eastAsia"/>
      </w:rPr>
    </w:lvl>
  </w:abstractNum>
  <w:abstractNum w:abstractNumId="1">
    <w:nsid w:val="1326B90D"/>
    <w:multiLevelType w:val="singleLevel"/>
    <w:tmpl w:val="1326B90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764DC1F"/>
    <w:multiLevelType w:val="singleLevel"/>
    <w:tmpl w:val="1764DC1F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33CA2D9D"/>
    <w:multiLevelType w:val="singleLevel"/>
    <w:tmpl w:val="33CA2D9D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FC1"/>
    <w:rsid w:val="000711E5"/>
    <w:rsid w:val="00095FC1"/>
    <w:rsid w:val="001F2A87"/>
    <w:rsid w:val="00236C99"/>
    <w:rsid w:val="002E3C3B"/>
    <w:rsid w:val="003275BE"/>
    <w:rsid w:val="006743F6"/>
    <w:rsid w:val="00686891"/>
    <w:rsid w:val="006E395A"/>
    <w:rsid w:val="00764AFE"/>
    <w:rsid w:val="008937B1"/>
    <w:rsid w:val="008E3788"/>
    <w:rsid w:val="008F16F5"/>
    <w:rsid w:val="00AB5610"/>
    <w:rsid w:val="00DE50DD"/>
    <w:rsid w:val="00E13C6A"/>
    <w:rsid w:val="22445F59"/>
    <w:rsid w:val="34D73340"/>
    <w:rsid w:val="632906EF"/>
    <w:rsid w:val="76BD3A2D"/>
    <w:rsid w:val="7753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标题 3 字符"/>
    <w:basedOn w:val="8"/>
    <w:link w:val="2"/>
    <w:qFormat/>
    <w:uiPriority w:val="0"/>
    <w:rPr>
      <w:rFonts w:ascii="Calibri" w:hAnsi="Calibri" w:eastAsia="宋体" w:cs="Times New Roman"/>
      <w:b/>
      <w:bCs/>
      <w:sz w:val="32"/>
      <w:szCs w:val="32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1277</Words>
  <Characters>1458</Characters>
  <Lines>11</Lines>
  <Paragraphs>3</Paragraphs>
  <TotalTime>42</TotalTime>
  <ScaleCrop>false</ScaleCrop>
  <LinksUpToDate>false</LinksUpToDate>
  <CharactersWithSpaces>1487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2026-09-15T02:30:00Z</dcterms:created>
  <dc:creator>1112321564</dc:creator>
  <cp:lastModifiedBy>张娟</cp:lastModifiedBy>
  <dcterms:modified xsi:type="dcterms:W3CDTF">2026-10-15T07:38:10Z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eyJoZGlkIjoiNWY2YjI5NmM4NjcyZTgwOGJhOGNiODM4NTg0ZjVhNTAiLCJ1c2VySWQiOiIxNjE2NzM1NzA0In0=</vt:lpwstr>
  </property>
  <property fmtid="{D5CDD505-2E9C-101B-9397-08002B2CF9AE}" pid="3" name="KSOProductBuildVer">
    <vt:lpwstr>2052-12.1.0.28043</vt:lpwstr>
  </property>
  <property fmtid="{D5CDD505-2E9C-101B-9397-08002B2CF9AE}" pid="4" name="ICV">
    <vt:lpwstr>8A3E30F8E1674255BDDA5AA17D63A172_13</vt:lpwstr>
  </property>
</Properties>
</file>