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BBFF">
      <w:pPr>
        <w:jc w:val="center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36"/>
        </w:rPr>
        <w:t>公共数据资源治理成本归集系统产品推介需求书</w:t>
      </w:r>
    </w:p>
    <w:p w14:paraId="6E0C0698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8"/>
        </w:rPr>
        <w:t>一、总体需求</w:t>
      </w:r>
    </w:p>
    <w:p w14:paraId="4CD6962D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为规范全院公共数据资源治理成本归集工作，准确反映数据治理全链条资源耗费，支撑数据资源成本核算、投入评价与价值管理，落实</w:t>
      </w:r>
      <w:r>
        <w:rPr>
          <w:rFonts w:hint="eastAsia" w:ascii="Times New Roman" w:hAnsi="Times New Roman"/>
          <w:sz w:val="24"/>
          <w:lang w:eastAsia="zh-CN"/>
        </w:rPr>
        <w:t>“</w:t>
      </w:r>
      <w:r>
        <w:rPr>
          <w:rFonts w:ascii="Times New Roman" w:hAnsi="Times New Roman" w:eastAsia="宋体"/>
          <w:sz w:val="24"/>
        </w:rPr>
        <w:t>月度归集、季度复核、专题分析、年度评估</w:t>
      </w:r>
      <w:r>
        <w:rPr>
          <w:rFonts w:hint="eastAsia" w:ascii="Times New Roman" w:hAnsi="Times New Roman"/>
          <w:sz w:val="24"/>
          <w:lang w:eastAsia="zh-CN"/>
        </w:rPr>
        <w:t>”</w:t>
      </w:r>
      <w:r>
        <w:rPr>
          <w:rFonts w:ascii="Times New Roman" w:hAnsi="Times New Roman" w:eastAsia="宋体"/>
          <w:sz w:val="24"/>
        </w:rPr>
        <w:t>工作机制，实现成本归集</w:t>
      </w:r>
      <w:r>
        <w:rPr>
          <w:rFonts w:hint="eastAsia" w:ascii="Times New Roman" w:hAnsi="Times New Roman"/>
          <w:sz w:val="24"/>
          <w:lang w:eastAsia="zh-CN"/>
        </w:rPr>
        <w:t>“</w:t>
      </w:r>
      <w:r>
        <w:rPr>
          <w:rFonts w:ascii="Times New Roman" w:hAnsi="Times New Roman" w:eastAsia="宋体"/>
          <w:sz w:val="24"/>
        </w:rPr>
        <w:t>账务同源、动因分摊、证据可溯、口径统一</w:t>
      </w:r>
      <w:r>
        <w:rPr>
          <w:rFonts w:hint="eastAsia" w:ascii="Times New Roman" w:hAnsi="Times New Roman"/>
          <w:sz w:val="24"/>
          <w:lang w:eastAsia="zh-CN"/>
        </w:rPr>
        <w:t>”</w:t>
      </w:r>
      <w:r>
        <w:rPr>
          <w:rFonts w:ascii="Times New Roman" w:hAnsi="Times New Roman" w:eastAsia="宋体"/>
          <w:sz w:val="24"/>
        </w:rPr>
        <w:t>，现对公共数据资源治理成本归集系统开展市场调研与产品推介。</w:t>
      </w:r>
    </w:p>
    <w:p w14:paraId="6EBDC08D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本系统面向医院数据治理与财务管理部门，覆盖数据资源从采集、清洗、整合、建模到共享应用的全生命周期成本核算，支撑数据资产入表与公共数据授权运营的成本计量要求。</w:t>
      </w:r>
    </w:p>
    <w:p w14:paraId="45D39945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8"/>
        </w:rPr>
        <w:t>二、功能需求</w:t>
      </w:r>
    </w:p>
    <w:p w14:paraId="7661C3F9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（一）基础配置与初始化</w:t>
      </w:r>
    </w:p>
    <w:p w14:paraId="33ED4B31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数据资产目录管理：维护全院公共数据资源目录，按</w:t>
      </w:r>
      <w:r>
        <w:rPr>
          <w:rFonts w:hint="eastAsia" w:ascii="Times New Roman" w:hAnsi="Times New Roman"/>
          <w:sz w:val="24"/>
          <w:lang w:eastAsia="zh-CN"/>
        </w:rPr>
        <w:t>“</w:t>
      </w:r>
      <w:r>
        <w:rPr>
          <w:rFonts w:ascii="Times New Roman" w:hAnsi="Times New Roman" w:eastAsia="宋体"/>
          <w:sz w:val="24"/>
        </w:rPr>
        <w:t>全院整体—数据集成平台/数据应用/数据服务—具体数据资源ID</w:t>
      </w:r>
      <w:r>
        <w:rPr>
          <w:rFonts w:hint="eastAsia" w:ascii="Times New Roman" w:hAnsi="Times New Roman"/>
          <w:sz w:val="24"/>
          <w:lang w:eastAsia="zh-CN"/>
        </w:rPr>
        <w:t>”</w:t>
      </w:r>
      <w:r>
        <w:rPr>
          <w:rFonts w:ascii="Times New Roman" w:hAnsi="Times New Roman" w:eastAsia="宋体"/>
          <w:sz w:val="24"/>
        </w:rPr>
        <w:t>三级结构建立成本对象体系，支持成本对象的新增、变更、停用及版本管理。</w:t>
      </w:r>
    </w:p>
    <w:p w14:paraId="512F175B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成本项目配置：预置数据治理成本项目（含人员人工、硬件折旧、软件摊销、算力消耗、外购服务、其他直接费用等），支持自定义成本项目映射至会计科目。</w:t>
      </w:r>
    </w:p>
    <w:p w14:paraId="288FCEA8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标识体系配置：维护部门及成本中心编码、人员工时标签、固定资产及设备编码、算力存储资源池标签、业务应用场景编码，实现人、财、物、算力、场景多维度标签贯通。</w:t>
      </w:r>
    </w:p>
    <w:p w14:paraId="4EBF9CB1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4. 分摊参数管理：配置各类间接费用的分摊动因与权重参数，包括但不限于数据存储量、访问调用量、人员工时占比、机柜功率、样本体积、设备占用率、数据质量评分等；参数调整须留痕并记录生效日期。</w:t>
      </w:r>
    </w:p>
    <w:p w14:paraId="550BEF91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（二）数据对接与采集</w:t>
      </w:r>
    </w:p>
    <w:p w14:paraId="2168D819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系统对接：通过中间数据平台与HRP、HIS、数据中台、薪资系统、固定资产系统、物资管理系统联动，自动抓取人员工时、存储容量、访问量、机柜功率、设备占用率等基础数据，减少人工录入。</w:t>
      </w:r>
    </w:p>
    <w:p w14:paraId="703D0BF2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财务同源：与财务核算系统实现凭证级对接，确保成本归集数据与账面账务同源一致，支持凭证号关联与双向追溯。</w:t>
      </w:r>
    </w:p>
    <w:p w14:paraId="140A1174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手工补录：对系统未覆盖的成本项（如外购数据服务费、外部咨询费等）提供手工录入通道，须上传原始凭证作为附件。</w:t>
      </w:r>
    </w:p>
    <w:p w14:paraId="4A8C7BF7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（三）成本归集与分摊</w:t>
      </w:r>
    </w:p>
    <w:p w14:paraId="2DF9255C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直接归集：可直接归属至具体数据资源ID的费用（如该资源的专属存储、专属算力、专项人员工时），直接计入对应成本对象。</w:t>
      </w:r>
    </w:p>
    <w:p w14:paraId="4B2F3303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间接归集与分摊：无法直接归属的共享费用（如集成平台整体运维、公共硬件折旧、公共软件摊销），先归集至共享平台成本中心，再按预设动因分摊至产出类别（数据集成、数据应用、数据服务）及具体数据资源ID。</w:t>
      </w:r>
    </w:p>
    <w:p w14:paraId="7E7FCC6C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分摊方法：支持按存储量占比、访问量占比、工时占比、设备占用率等多种动因组合分摊，同一成本中心可配置多级分摊规则。</w:t>
      </w:r>
    </w:p>
    <w:p w14:paraId="37F89A45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4. 成本结转：支持数据集成层成本按配置权重向受益的数据应用、数据服务结转分摊，形成完整的成本流转链条。</w:t>
      </w:r>
    </w:p>
    <w:p w14:paraId="433E2E50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（四）成本追溯与查询</w:t>
      </w:r>
    </w:p>
    <w:p w14:paraId="2B1AAD5F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成本链追溯：提供从总费用到具体数据资源ID的穿透式查询，可查看每一笔费用的来源凭证、归集路径、分摊过程与最终归属。</w:t>
      </w:r>
    </w:p>
    <w:p w14:paraId="61744A91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多维分析：支持按部门、成本项目、数据资源、时间周期、应用场景等多维度组合查询与对比分析。</w:t>
      </w:r>
    </w:p>
    <w:p w14:paraId="25CD8546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导出功能：查询结果支持Excel格式导出。</w:t>
      </w:r>
    </w:p>
    <w:p w14:paraId="2DCBB02E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（五）工时采集与审核</w:t>
      </w:r>
    </w:p>
    <w:p w14:paraId="092ADABB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工时填报：按</w:t>
      </w:r>
      <w:r>
        <w:rPr>
          <w:rFonts w:hint="eastAsia" w:ascii="Times New Roman" w:hAnsi="Times New Roman"/>
          <w:sz w:val="24"/>
          <w:lang w:eastAsia="zh-CN"/>
        </w:rPr>
        <w:t>“</w:t>
      </w:r>
      <w:r>
        <w:rPr>
          <w:rFonts w:ascii="Times New Roman" w:hAnsi="Times New Roman" w:eastAsia="宋体"/>
          <w:sz w:val="24"/>
        </w:rPr>
        <w:t>人·天</w:t>
      </w:r>
      <w:r>
        <w:rPr>
          <w:rFonts w:hint="eastAsia" w:ascii="Times New Roman" w:hAnsi="Times New Roman"/>
          <w:sz w:val="24"/>
          <w:lang w:eastAsia="zh-CN"/>
        </w:rPr>
        <w:t>”</w:t>
      </w:r>
      <w:r>
        <w:rPr>
          <w:rFonts w:ascii="Times New Roman" w:hAnsi="Times New Roman" w:eastAsia="宋体"/>
          <w:sz w:val="24"/>
        </w:rPr>
        <w:t>为单位填报（最小粒度0.5天），系统自动带出人员姓名、所属部门、岗位标签，并</w:t>
      </w:r>
      <w:r>
        <w:rPr>
          <w:rFonts w:hint="eastAsia" w:ascii="Times New Roman" w:hAnsi="Times New Roman"/>
          <w:sz w:val="24"/>
          <w:lang w:eastAsia="zh-CN"/>
        </w:rPr>
        <w:t>需</w:t>
      </w:r>
      <w:r>
        <w:rPr>
          <w:rFonts w:ascii="Times New Roman" w:hAnsi="Times New Roman" w:eastAsia="宋体"/>
          <w:sz w:val="24"/>
        </w:rPr>
        <w:t>关联具体数据资源ID或数据治理项目。</w:t>
      </w:r>
    </w:p>
    <w:p w14:paraId="7063B8BA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三级审核：实行</w:t>
      </w:r>
      <w:r>
        <w:rPr>
          <w:rFonts w:hint="eastAsia" w:ascii="Times New Roman" w:hAnsi="Times New Roman"/>
          <w:sz w:val="24"/>
          <w:lang w:eastAsia="zh-CN"/>
        </w:rPr>
        <w:t>“</w:t>
      </w:r>
      <w:r>
        <w:rPr>
          <w:rFonts w:ascii="Times New Roman" w:hAnsi="Times New Roman" w:eastAsia="宋体"/>
          <w:sz w:val="24"/>
        </w:rPr>
        <w:t>个人自助填报—科室负责人审核—数据中心复核</w:t>
      </w:r>
      <w:r>
        <w:rPr>
          <w:rFonts w:hint="eastAsia" w:ascii="Times New Roman" w:hAnsi="Times New Roman"/>
          <w:sz w:val="24"/>
          <w:lang w:eastAsia="zh-CN"/>
        </w:rPr>
        <w:t>”</w:t>
      </w:r>
      <w:r>
        <w:rPr>
          <w:rFonts w:ascii="Times New Roman" w:hAnsi="Times New Roman" w:eastAsia="宋体"/>
          <w:sz w:val="24"/>
        </w:rPr>
        <w:t>三级流转，审核不通过可驳回并注明原因，修改后重新提交。</w:t>
      </w:r>
    </w:p>
    <w:p w14:paraId="72862AFB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交叉校验：与任务单、系统工单进行关联校验，工时填报须有对应工作任务支撑，防止虚报、多报。</w:t>
      </w:r>
    </w:p>
    <w:p w14:paraId="75625D15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4. 工时与成本映射：工时按人员岗位费率自动折算为人工成本，计入对应数据资源成本。</w:t>
      </w:r>
    </w:p>
    <w:p w14:paraId="167A601A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（六）复核审核与预警</w:t>
      </w:r>
    </w:p>
    <w:p w14:paraId="7713A029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复核流程：内置月度归集复核、季度成本分析复核两级流程，实行不相容岗位分离（填报人与审核人分离、配置人与执行人分离）。</w:t>
      </w:r>
    </w:p>
    <w:p w14:paraId="499E4EBB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节点管控：对成本归集各环节设置时间节点，逾期自动提醒。</w:t>
      </w:r>
    </w:p>
    <w:p w14:paraId="49AFD1A8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预警规则：对进度滞后、工时填报率偏低、分摊参数波动较大、异常大额费用、成本对象无对应业务量等情形，触发红黄两级预警，并支持升级督办。</w:t>
      </w:r>
    </w:p>
    <w:p w14:paraId="32C1FFE3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（七）报表与成果管理</w:t>
      </w:r>
    </w:p>
    <w:p w14:paraId="42AAD875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治理投入类报表：公共数据资源治理成本表，按具体成本归集对象单独编制，列示各成本项目金额及占比。</w:t>
      </w:r>
    </w:p>
    <w:p w14:paraId="6B80545F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资源清单类报表：数据资产目录及资源清单表，反映纳入成本归集范围的数据资源总量、类型、分布及对应成本。</w:t>
      </w:r>
    </w:p>
    <w:p w14:paraId="48C09AA2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相关收入类报表：公共数据资源相关收入表，列示数据服务、数据产品等收入明细，支撑投入产出分析。</w:t>
      </w:r>
    </w:p>
    <w:p w14:paraId="14AC6377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4. 报表功能：预置报表内置勾稽校验公式，支持Excel、PDF双格式导出；支持自定义报表模板配置。</w:t>
      </w:r>
    </w:p>
    <w:p w14:paraId="7550A816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（八）规则与档案管理</w:t>
      </w:r>
    </w:p>
    <w:p w14:paraId="59BA0310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规则变更管理：成本口径、分摊规则、参数配置的变更须履行申请—审核—审批闭环流程，新旧规则对照留痕，支持追溯历史版本。</w:t>
      </w:r>
    </w:p>
    <w:p w14:paraId="46C7069F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证据链管理：构建财务凭证、业务工单、系统日志、资产台账、工时记录</w:t>
      </w:r>
      <w:r>
        <w:rPr>
          <w:rFonts w:hint="eastAsia" w:ascii="Times New Roman" w:hAnsi="Times New Roman"/>
          <w:sz w:val="24"/>
          <w:lang w:eastAsia="zh-CN"/>
        </w:rPr>
        <w:t>“</w:t>
      </w:r>
      <w:r>
        <w:rPr>
          <w:rFonts w:ascii="Times New Roman" w:hAnsi="Times New Roman" w:eastAsia="宋体"/>
          <w:sz w:val="24"/>
        </w:rPr>
        <w:t>五维互证</w:t>
      </w:r>
      <w:r>
        <w:rPr>
          <w:rFonts w:hint="eastAsia" w:ascii="Times New Roman" w:hAnsi="Times New Roman"/>
          <w:sz w:val="24"/>
          <w:lang w:eastAsia="zh-CN"/>
        </w:rPr>
        <w:t>”</w:t>
      </w:r>
      <w:r>
        <w:rPr>
          <w:rFonts w:ascii="Times New Roman" w:hAnsi="Times New Roman" w:eastAsia="宋体"/>
          <w:sz w:val="24"/>
        </w:rPr>
        <w:t>证据链，每笔成本均可关联至原始依据。</w:t>
      </w:r>
    </w:p>
    <w:p w14:paraId="7895E49B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权限与安全：实行分级授权、操作留痕，数据敏感信息脱敏展示，满足等保相关要求。</w:t>
      </w:r>
    </w:p>
    <w:p w14:paraId="5F482E71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8"/>
        </w:rPr>
        <w:t>三、非功能需求</w:t>
      </w:r>
    </w:p>
    <w:p w14:paraId="0BFAD0D4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性能要求：成本归集计算效率要高，避免长时间等待；报表查询响应及时，满足日常业务使用需求；支持日常办公并发访问。</w:t>
      </w:r>
    </w:p>
    <w:p w14:paraId="54699863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安全要求：系统须满足信息安全等级保护相关要求；数据传输与存储加密；操作日志完整留存备查。</w:t>
      </w:r>
    </w:p>
    <w:p w14:paraId="7E49E2AB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兼容性：支持主流浏览器访问；与现有HRP、HIS、数据中台等系统无冲突部署。</w:t>
      </w:r>
    </w:p>
    <w:p w14:paraId="348B37B6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4. 可扩展性：支持后续新增成本项目、调整分摊动因、新增报表模板，尽量通过配置实现，减少二次开发。</w:t>
      </w:r>
    </w:p>
    <w:p w14:paraId="72B5DF55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5. 易用性：操作界面简洁，业务人员</w:t>
      </w:r>
      <w:r>
        <w:rPr>
          <w:rFonts w:hint="eastAsia" w:ascii="Times New Roman" w:hAnsi="Times New Roman"/>
          <w:sz w:val="24"/>
          <w:lang w:eastAsia="zh-CN"/>
        </w:rPr>
        <w:t>经过</w:t>
      </w:r>
      <w:r>
        <w:rPr>
          <w:rFonts w:ascii="Times New Roman" w:hAnsi="Times New Roman" w:eastAsia="宋体"/>
          <w:sz w:val="24"/>
        </w:rPr>
        <w:t>简单培训即可上手；提供操作手册与在线帮助。</w:t>
      </w:r>
    </w:p>
    <w:p w14:paraId="744C4BE7">
      <w:pPr>
        <w:jc w:val="both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8"/>
        </w:rPr>
        <w:t>四、实施与交付要求</w:t>
      </w:r>
    </w:p>
    <w:p w14:paraId="2A04AA77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1. 部署方式：支持本地化部署或医院私有云部署，具体方式由院方确定。</w:t>
      </w:r>
    </w:p>
    <w:p w14:paraId="0598C64B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2. 实施周期：合同签订后</w:t>
      </w:r>
      <w:r>
        <w:rPr>
          <w:rFonts w:hint="eastAsia" w:ascii="Times New Roman" w:hAnsi="Times New Roman"/>
          <w:sz w:val="24"/>
          <w:lang w:val="en-US" w:eastAsia="zh-CN"/>
        </w:rPr>
        <w:t>1个</w:t>
      </w:r>
      <w:bookmarkStart w:id="0" w:name="_GoBack"/>
      <w:r>
        <w:rPr>
          <w:rFonts w:hint="eastAsia" w:ascii="Times New Roman" w:hAnsi="Times New Roman"/>
          <w:sz w:val="24"/>
          <w:lang w:val="en-US" w:eastAsia="zh-CN"/>
        </w:rPr>
        <w:t>月内</w:t>
      </w:r>
      <w:bookmarkEnd w:id="0"/>
      <w:r>
        <w:rPr>
          <w:rFonts w:ascii="Times New Roman" w:hAnsi="Times New Roman" w:eastAsia="宋体"/>
          <w:sz w:val="24"/>
        </w:rPr>
        <w:t>完成系统部署、数据对接及上线试运行，具体时间</w:t>
      </w:r>
      <w:r>
        <w:rPr>
          <w:rFonts w:hint="eastAsia" w:ascii="Times New Roman" w:hAnsi="Times New Roman"/>
          <w:sz w:val="24"/>
          <w:lang w:val="en-US" w:eastAsia="zh-CN"/>
        </w:rPr>
        <w:t>由</w:t>
      </w:r>
      <w:r>
        <w:rPr>
          <w:rFonts w:ascii="Times New Roman" w:hAnsi="Times New Roman" w:eastAsia="宋体"/>
          <w:sz w:val="24"/>
        </w:rPr>
        <w:t>双方协商确定。</w:t>
      </w:r>
    </w:p>
    <w:p w14:paraId="7295AAA7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3. 培训要求：提供管理员培训与业务人员培训，确保院方人员可独立操作与日常维护。</w:t>
      </w:r>
    </w:p>
    <w:p w14:paraId="31912359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4. 验收标准：功能需求全部实现，系统连续稳定运行，成本归集数据准确可靠，经院方确认后验收。</w:t>
      </w:r>
    </w:p>
    <w:p w14:paraId="057995BD">
      <w:pPr>
        <w:ind w:firstLine="420"/>
        <w:jc w:val="both"/>
        <w:rPr>
          <w:rFonts w:ascii="Times New Roman" w:hAnsi="Times New Roman"/>
        </w:rPr>
      </w:pPr>
      <w:r>
        <w:rPr>
          <w:rFonts w:ascii="Times New Roman" w:hAnsi="Times New Roman" w:eastAsia="宋体"/>
          <w:sz w:val="24"/>
        </w:rPr>
        <w:t>5. 售后支持：提供合理期限的免费质保期，技术响应及时，重大问题能及时到场处理。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方正FW筑紫明朝 简 M">
    <w:panose1 w:val="020006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66513C"/>
    <w:rsid w:val="08740FC8"/>
    <w:rsid w:val="35812566"/>
    <w:rsid w:val="42BA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d4b4067a-08cb-47a9-9962-5c3ef3f967d7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4CD6962D</paraID>
      <start>59</start>
      <end>60</end>
      <status>modified</status>
      <modifiedWord>“</modifiedWord>
      <trackRevisions>false</trackRevisions>
    </reviewItem>
    <reviewItem>
      <errorID>b86e84da-e426-4642-8e66-e0193ef34ca9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4CD6962D</paraID>
      <start>79</start>
      <end>80</end>
      <status>modified</status>
      <modifiedWord>”</modifiedWord>
      <trackRevisions>false</trackRevisions>
    </reviewItem>
    <reviewItem>
      <errorID>60c8c1f7-9817-4b65-a5ec-48fbcd05862b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4CD6962D</paraID>
      <start>91</start>
      <end>92</end>
      <status>modified</status>
      <modifiedWord>“</modifiedWord>
      <trackRevisions>false</trackRevisions>
    </reviewItem>
    <reviewItem>
      <errorID>30394caf-b993-43b5-a96b-5e6d8058bccc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4CD6962D</paraID>
      <start>111</start>
      <end>112</end>
      <status>modified</status>
      <modifiedWord>”</modifiedWord>
      <trackRevisions>false</trackRevisions>
    </reviewItem>
    <reviewItem>
      <errorID>60731f4c-4b11-48cd-b3c0-e7468c295c96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 92ADABB</paraID>
      <start>52</start>
      <end>53</end>
      <status>modified</status>
      <modifiedWord>需</modifiedWord>
      <trackRevisions>false</trackRevisions>
    </reviewItem>
    <reviewItem>
      <errorID>44524337-0238-4b95-9144-fd364c6b6de2</errorID>
      <errorWord>经</errorWord>
      <group>L1_Word</group>
      <groupName>字词问题</groupName>
      <ability>L2_Typo</ability>
      <abilityName>字词错误</abilityName>
      <candidateList>
        <item>经过</item>
      </candidateList>
      <explain/>
      <paraID>72B5DF55</paraID>
      <start>18</start>
      <end>20</end>
      <status>modified</status>
      <modifiedWord>经过</modifiedWord>
      <trackRevisions>false</trackRevisions>
    </reviewItem>
    <reviewItem>
      <errorID>d286bec2-3d8e-4c1f-8d44-5635c5f3bc55</errorID>
      <errorWord>月</errorWord>
      <group>L1_Word</group>
      <groupName>字词问题</groupName>
      <ability>L2_Typo</ability>
      <abilityName>字词错误</abilityName>
      <candidateList>
        <item>月内</item>
      </candidateList>
      <explain/>
      <paraID> 598C64B</paraID>
      <start>15</start>
      <end>17</end>
      <status>modified</status>
      <modifiedWord>月内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aeaac47a-bfe7-4904-aa6e-3ff479e0c2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2371</Words>
  <Characters>2434</Characters>
  <Lines>0</Lines>
  <Paragraphs>0</Paragraphs>
  <TotalTime>3</TotalTime>
  <ScaleCrop>false</ScaleCrop>
  <LinksUpToDate>false</LinksUpToDate>
  <CharactersWithSpaces>2472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张娟</cp:lastModifiedBy>
  <dcterms:modified xsi:type="dcterms:W3CDTF">2026-10-19T01:00:14Z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eyJoZGlkIjoiNWY2YjI5NmM4NjcyZTgwOGJhOGNiODM4NTg0ZjVhNTAiLCJ1c2VySWQiOiIxNjE2NzM1NzA0In0=</vt:lpwstr>
  </property>
  <property fmtid="{D5CDD505-2E9C-101B-9397-08002B2CF9AE}" pid="3" name="KSOProductBuildVer">
    <vt:lpwstr>2052-12.1.0.28043</vt:lpwstr>
  </property>
  <property fmtid="{D5CDD505-2E9C-101B-9397-08002B2CF9AE}" pid="4" name="ICV">
    <vt:lpwstr>557CC08853884BFAABA39BBA75B64C8D_12</vt:lpwstr>
  </property>
</Properties>
</file>