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2BAD9495">
      <w:pPr>
        <w:spacing w:line="600" w:lineRule="exact"/>
        <w:jc w:val="center"/>
        <w:rPr>
          <w:rFonts w:hint="eastAsia" w:ascii="方正仿宋_GBK" w:eastAsia="方正仿宋_GBK"/>
          <w:color w:val="auto"/>
          <w:sz w:val="52"/>
        </w:rPr>
      </w:pPr>
      <w:permStart w:id="0" w:edGrp="everyone"/>
      <w:permEnd w:id="0"/>
    </w:p>
    <w:p w14:paraId="4BF7A25A">
      <w:pPr>
        <w:spacing w:line="1600" w:lineRule="exact"/>
        <w:jc w:val="center"/>
        <w:rPr>
          <w:rFonts w:hint="eastAsia" w:ascii="方正黑体_GBK" w:eastAsia="方正黑体_GBK"/>
          <w:color w:val="auto"/>
          <w:sz w:val="72"/>
          <w:szCs w:val="16"/>
        </w:rPr>
      </w:pPr>
      <w:r>
        <w:rPr>
          <w:rFonts w:hint="eastAsia" w:ascii="方正黑体_GBK" w:eastAsia="方正黑体_GBK"/>
          <w:color w:val="auto"/>
          <w:sz w:val="72"/>
          <w:szCs w:val="16"/>
        </w:rPr>
        <w:t>重庆医科大学附属第二医院</w:t>
      </w:r>
    </w:p>
    <w:p w14:paraId="2A140093">
      <w:pPr>
        <w:spacing w:line="1600" w:lineRule="exact"/>
        <w:jc w:val="center"/>
        <w:rPr>
          <w:rFonts w:hint="eastAsia" w:ascii="方正黑体_GBK" w:hAnsi="宋体" w:eastAsia="方正黑体_GBK"/>
          <w:color w:val="auto"/>
          <w:sz w:val="130"/>
          <w:szCs w:val="130"/>
        </w:rPr>
      </w:pPr>
    </w:p>
    <w:p w14:paraId="4DD73B14">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采</w:t>
      </w:r>
    </w:p>
    <w:p w14:paraId="79A76191">
      <w:pPr>
        <w:spacing w:line="1600" w:lineRule="exact"/>
        <w:jc w:val="center"/>
        <w:rPr>
          <w:rFonts w:hint="eastAsia" w:ascii="方正黑体_GBK" w:hAnsi="宋体" w:eastAsia="方正黑体_GBK"/>
          <w:color w:val="auto"/>
          <w:sz w:val="130"/>
          <w:szCs w:val="130"/>
          <w:lang w:val="en-US" w:eastAsia="zh-CN"/>
        </w:rPr>
      </w:pPr>
      <w:r>
        <w:rPr>
          <w:rFonts w:hint="eastAsia" w:ascii="方正黑体_GBK" w:hAnsi="宋体" w:eastAsia="方正黑体_GBK"/>
          <w:color w:val="auto"/>
          <w:sz w:val="130"/>
          <w:szCs w:val="130"/>
          <w:lang w:val="en-US" w:eastAsia="zh-CN"/>
        </w:rPr>
        <w:t>购</w:t>
      </w:r>
    </w:p>
    <w:p w14:paraId="5421263F">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文</w:t>
      </w:r>
    </w:p>
    <w:p w14:paraId="52D47D87">
      <w:pPr>
        <w:spacing w:line="1600" w:lineRule="exact"/>
        <w:jc w:val="center"/>
        <w:rPr>
          <w:rFonts w:hint="eastAsia" w:ascii="方正黑体_GBK" w:hAnsi="宋体" w:eastAsia="方正黑体_GBK"/>
          <w:color w:val="auto"/>
          <w:sz w:val="130"/>
          <w:szCs w:val="130"/>
        </w:rPr>
      </w:pPr>
      <w:r>
        <w:rPr>
          <w:rFonts w:hint="eastAsia" w:ascii="方正黑体_GBK" w:hAnsi="宋体" w:eastAsia="方正黑体_GBK"/>
          <w:color w:val="auto"/>
          <w:sz w:val="130"/>
          <w:szCs w:val="130"/>
        </w:rPr>
        <w:t>件</w:t>
      </w:r>
    </w:p>
    <w:p w14:paraId="6031DC0E">
      <w:pPr>
        <w:pStyle w:val="24"/>
        <w:spacing w:line="500" w:lineRule="exact"/>
        <w:ind w:left="0"/>
        <w:jc w:val="center"/>
        <w:rPr>
          <w:rFonts w:hint="eastAsia" w:ascii="方正黑体_GBK" w:eastAsia="方正黑体_GBK"/>
          <w:color w:val="auto"/>
          <w:sz w:val="32"/>
        </w:rPr>
      </w:pPr>
    </w:p>
    <w:p w14:paraId="6D092831">
      <w:pPr>
        <w:ind w:firstLine="560" w:firstLineChars="200"/>
        <w:rPr>
          <w:rFonts w:hint="eastAsia" w:ascii="仿宋_GB2312" w:eastAsia="仿宋_GB2312"/>
          <w:color w:val="auto"/>
          <w:szCs w:val="28"/>
        </w:rPr>
      </w:pPr>
    </w:p>
    <w:p w14:paraId="037F5799">
      <w:pPr>
        <w:ind w:firstLine="560" w:firstLineChars="200"/>
        <w:rPr>
          <w:rFonts w:hint="eastAsia" w:ascii="仿宋_GB2312" w:eastAsia="仿宋_GB2312"/>
          <w:color w:val="auto"/>
          <w:szCs w:val="28"/>
        </w:rPr>
      </w:pPr>
    </w:p>
    <w:p w14:paraId="09FD55D6">
      <w:pPr>
        <w:ind w:firstLine="560" w:firstLineChars="200"/>
        <w:rPr>
          <w:rFonts w:hint="eastAsia" w:ascii="仿宋_GB2312" w:eastAsia="仿宋_GB2312"/>
          <w:color w:val="auto"/>
          <w:szCs w:val="28"/>
        </w:rPr>
      </w:pPr>
    </w:p>
    <w:p w14:paraId="7B982BF2">
      <w:pPr>
        <w:ind w:firstLine="560" w:firstLineChars="200"/>
        <w:rPr>
          <w:rFonts w:hint="eastAsia" w:ascii="仿宋_GB2312" w:eastAsia="仿宋_GB2312"/>
          <w:color w:val="auto"/>
          <w:szCs w:val="28"/>
        </w:rPr>
      </w:pPr>
    </w:p>
    <w:p w14:paraId="26F84AD2">
      <w:pPr>
        <w:ind w:firstLine="560" w:firstLineChars="200"/>
        <w:rPr>
          <w:rFonts w:hint="eastAsia" w:ascii="仿宋_GB2312" w:eastAsia="仿宋_GB2312"/>
          <w:color w:val="auto"/>
          <w:szCs w:val="28"/>
        </w:rPr>
      </w:pPr>
    </w:p>
    <w:p w14:paraId="31CC7B99">
      <w:pPr>
        <w:pStyle w:val="57"/>
        <w:rPr>
          <w:rFonts w:hint="eastAsia"/>
          <w:color w:val="auto"/>
        </w:rPr>
      </w:pPr>
    </w:p>
    <w:p w14:paraId="486B8C64">
      <w:pPr>
        <w:snapToGrid w:val="0"/>
        <w:spacing w:line="500" w:lineRule="exact"/>
        <w:jc w:val="center"/>
        <w:rPr>
          <w:rFonts w:hint="eastAsia" w:ascii="方正仿宋_GBK" w:eastAsia="方正仿宋_GBK"/>
          <w:b w:val="0"/>
          <w:bCs w:val="0"/>
          <w:color w:val="auto"/>
          <w:sz w:val="36"/>
          <w:szCs w:val="36"/>
        </w:rPr>
      </w:pPr>
      <w:r>
        <w:rPr>
          <w:rFonts w:hint="eastAsia" w:ascii="方正小标宋_GBK" w:eastAsia="方正小标宋_GBK"/>
          <w:b w:val="0"/>
          <w:bCs w:val="0"/>
          <w:color w:val="auto"/>
          <w:sz w:val="36"/>
          <w:szCs w:val="36"/>
        </w:rPr>
        <w:t>二○二</w:t>
      </w:r>
      <w:r>
        <w:rPr>
          <w:rFonts w:hint="eastAsia" w:ascii="方正小标宋_GBK" w:eastAsia="方正小标宋_GBK"/>
          <w:b w:val="0"/>
          <w:bCs w:val="0"/>
          <w:color w:val="auto"/>
          <w:sz w:val="36"/>
          <w:szCs w:val="36"/>
          <w:lang w:val="en-US" w:eastAsia="zh-CN"/>
        </w:rPr>
        <w:t>六</w:t>
      </w:r>
      <w:r>
        <w:rPr>
          <w:rFonts w:hint="eastAsia" w:ascii="方正小标宋_GBK" w:eastAsia="方正小标宋_GBK"/>
          <w:b w:val="0"/>
          <w:bCs w:val="0"/>
          <w:color w:val="auto"/>
          <w:sz w:val="36"/>
          <w:szCs w:val="36"/>
        </w:rPr>
        <w:t>年</w:t>
      </w:r>
    </w:p>
    <w:p w14:paraId="4CE0785C">
      <w:pPr>
        <w:snapToGrid w:val="0"/>
        <w:spacing w:line="500" w:lineRule="exact"/>
        <w:rPr>
          <w:rFonts w:hint="eastAsia" w:ascii="方正仿宋_GBK" w:eastAsia="方正仿宋_GBK"/>
          <w:color w:val="auto"/>
          <w:sz w:val="44"/>
        </w:rPr>
        <w:sectPr>
          <w:headerReference r:id="rId5" w:type="first"/>
          <w:footerReference r:id="rId8" w:type="first"/>
          <w:headerReference r:id="rId3" w:type="default"/>
          <w:footerReference r:id="rId6" w:type="default"/>
          <w:headerReference r:id="rId4" w:type="even"/>
          <w:footerReference r:id="rId7" w:type="even"/>
          <w:pgSz w:w="11907" w:h="16840"/>
          <w:pgMar w:top="1134" w:right="1191" w:bottom="1134" w:left="1304" w:header="964" w:footer="992" w:gutter="0"/>
          <w:pgNumType w:start="1"/>
          <w:cols w:space="720" w:num="1"/>
          <w:titlePg/>
          <w:docGrid w:linePitch="312" w:charSpace="0"/>
        </w:sectPr>
      </w:pPr>
    </w:p>
    <w:p w14:paraId="5589FC2F">
      <w:pPr>
        <w:pStyle w:val="46"/>
        <w:tabs>
          <w:tab w:val="right" w:leader="dot" w:pos="9412"/>
          <w:tab w:val="clear" w:pos="8400"/>
        </w:tabs>
        <w:spacing w:line="400" w:lineRule="exact"/>
        <w:ind w:left="0" w:firstLine="0" w:firstLineChars="0"/>
        <w:jc w:val="center"/>
        <w:rPr>
          <w:rFonts w:hint="eastAsia" w:ascii="宋体" w:hAnsi="宋体" w:cs="宋体"/>
          <w:b/>
          <w:bCs/>
          <w:color w:val="auto"/>
          <w:sz w:val="32"/>
          <w:szCs w:val="32"/>
        </w:rPr>
      </w:pPr>
      <w:r>
        <w:rPr>
          <w:rFonts w:hint="eastAsia" w:ascii="宋体" w:hAnsi="宋体" w:cs="宋体"/>
          <w:b/>
          <w:bCs/>
          <w:color w:val="auto"/>
          <w:sz w:val="32"/>
          <w:szCs w:val="32"/>
        </w:rPr>
        <w:t>目  录</w:t>
      </w:r>
    </w:p>
    <w:p w14:paraId="6BD91426">
      <w:pPr>
        <w:pStyle w:val="38"/>
        <w:tabs>
          <w:tab w:val="right" w:leader="dot" w:pos="9412"/>
          <w:tab w:val="clear" w:pos="1260"/>
          <w:tab w:val="clear" w:pos="1685"/>
          <w:tab w:val="clear" w:pos="8400"/>
        </w:tabs>
        <w:rPr>
          <w:color w:val="auto"/>
        </w:rPr>
      </w:pPr>
      <w:bookmarkStart w:id="0" w:name="_Toc76373863"/>
      <w:bookmarkStart w:id="1" w:name="_Toc13868"/>
      <w:bookmarkStart w:id="2" w:name="_Toc10059"/>
      <w:bookmarkStart w:id="3" w:name="_Toc1304"/>
      <w:bookmarkStart w:id="4" w:name="_Toc31066"/>
      <w:r>
        <w:rPr>
          <w:color w:val="auto"/>
        </w:rPr>
        <w:fldChar w:fldCharType="begin"/>
      </w:r>
      <w:r>
        <w:rPr>
          <w:color w:val="auto"/>
        </w:rPr>
        <w:instrText xml:space="preserve">TOC \o "1-2" \h \u </w:instrText>
      </w:r>
      <w:r>
        <w:rPr>
          <w:color w:val="auto"/>
        </w:rPr>
        <w:fldChar w:fldCharType="separate"/>
      </w:r>
      <w:r>
        <w:rPr>
          <w:color w:val="auto"/>
        </w:rPr>
        <w:fldChar w:fldCharType="begin"/>
      </w:r>
      <w:r>
        <w:rPr>
          <w:color w:val="auto"/>
        </w:rPr>
        <w:instrText xml:space="preserve"> HYPERLINK \l _Toc16417 </w:instrText>
      </w:r>
      <w:r>
        <w:rPr>
          <w:color w:val="auto"/>
        </w:rPr>
        <w:fldChar w:fldCharType="separate"/>
      </w:r>
      <w:r>
        <w:rPr>
          <w:rFonts w:hint="eastAsia" w:ascii="宋体" w:hAnsi="宋体" w:cs="宋体"/>
          <w:color w:val="auto"/>
          <w:szCs w:val="48"/>
        </w:rPr>
        <w:t>第一篇 采购邀请书</w:t>
      </w:r>
      <w:r>
        <w:rPr>
          <w:color w:val="auto"/>
        </w:rPr>
        <w:tab/>
      </w:r>
      <w:r>
        <w:rPr>
          <w:color w:val="auto"/>
        </w:rPr>
        <w:fldChar w:fldCharType="begin"/>
      </w:r>
      <w:r>
        <w:rPr>
          <w:color w:val="auto"/>
        </w:rPr>
        <w:instrText xml:space="preserve"> PAGEREF _Toc16417 \h </w:instrText>
      </w:r>
      <w:r>
        <w:rPr>
          <w:color w:val="auto"/>
        </w:rPr>
        <w:fldChar w:fldCharType="separate"/>
      </w:r>
      <w:r>
        <w:rPr>
          <w:color w:val="auto"/>
        </w:rPr>
        <w:t>- 3 -</w:t>
      </w:r>
      <w:r>
        <w:rPr>
          <w:color w:val="auto"/>
        </w:rPr>
        <w:fldChar w:fldCharType="end"/>
      </w:r>
      <w:r>
        <w:rPr>
          <w:color w:val="auto"/>
        </w:rPr>
        <w:fldChar w:fldCharType="end"/>
      </w:r>
    </w:p>
    <w:p w14:paraId="7D71EE68">
      <w:pPr>
        <w:pStyle w:val="46"/>
        <w:tabs>
          <w:tab w:val="right" w:leader="dot" w:pos="9412"/>
          <w:tab w:val="clear" w:pos="8400"/>
        </w:tabs>
        <w:rPr>
          <w:color w:val="auto"/>
        </w:rPr>
      </w:pPr>
      <w:r>
        <w:rPr>
          <w:color w:val="auto"/>
        </w:rPr>
        <w:fldChar w:fldCharType="begin"/>
      </w:r>
      <w:r>
        <w:rPr>
          <w:color w:val="auto"/>
        </w:rPr>
        <w:instrText xml:space="preserve"> HYPERLINK \l _Toc17192 </w:instrText>
      </w:r>
      <w:r>
        <w:rPr>
          <w:color w:val="auto"/>
        </w:rPr>
        <w:fldChar w:fldCharType="separate"/>
      </w:r>
      <w:r>
        <w:rPr>
          <w:rFonts w:hint="eastAsia" w:ascii="宋体" w:hAnsi="宋体" w:cs="宋体"/>
          <w:color w:val="auto"/>
          <w:szCs w:val="24"/>
        </w:rPr>
        <w:t>一、采购项目基本情况</w:t>
      </w:r>
      <w:r>
        <w:rPr>
          <w:color w:val="auto"/>
        </w:rPr>
        <w:tab/>
      </w:r>
      <w:r>
        <w:rPr>
          <w:color w:val="auto"/>
        </w:rPr>
        <w:fldChar w:fldCharType="begin"/>
      </w:r>
      <w:r>
        <w:rPr>
          <w:color w:val="auto"/>
        </w:rPr>
        <w:instrText xml:space="preserve"> PAGEREF _Toc17192 \h </w:instrText>
      </w:r>
      <w:r>
        <w:rPr>
          <w:color w:val="auto"/>
        </w:rPr>
        <w:fldChar w:fldCharType="separate"/>
      </w:r>
      <w:r>
        <w:rPr>
          <w:color w:val="auto"/>
        </w:rPr>
        <w:t>- 3 -</w:t>
      </w:r>
      <w:r>
        <w:rPr>
          <w:color w:val="auto"/>
        </w:rPr>
        <w:fldChar w:fldCharType="end"/>
      </w:r>
      <w:r>
        <w:rPr>
          <w:color w:val="auto"/>
        </w:rPr>
        <w:fldChar w:fldCharType="end"/>
      </w:r>
    </w:p>
    <w:p w14:paraId="35CFCED4">
      <w:pPr>
        <w:pStyle w:val="46"/>
        <w:tabs>
          <w:tab w:val="right" w:leader="dot" w:pos="9412"/>
          <w:tab w:val="clear" w:pos="8400"/>
        </w:tabs>
        <w:rPr>
          <w:color w:val="auto"/>
        </w:rPr>
      </w:pPr>
      <w:r>
        <w:rPr>
          <w:color w:val="auto"/>
        </w:rPr>
        <w:fldChar w:fldCharType="begin"/>
      </w:r>
      <w:r>
        <w:rPr>
          <w:color w:val="auto"/>
        </w:rPr>
        <w:instrText xml:space="preserve"> HYPERLINK \l _Toc3249 </w:instrText>
      </w:r>
      <w:r>
        <w:rPr>
          <w:color w:val="auto"/>
        </w:rPr>
        <w:fldChar w:fldCharType="separate"/>
      </w:r>
      <w:r>
        <w:rPr>
          <w:rFonts w:hint="eastAsia" w:ascii="宋体" w:hAnsi="宋体" w:cs="宋体"/>
          <w:color w:val="auto"/>
        </w:rPr>
        <w:t>二、</w:t>
      </w:r>
      <w:r>
        <w:rPr>
          <w:rFonts w:hint="eastAsia" w:ascii="宋体" w:hAnsi="宋体" w:cs="宋体"/>
          <w:color w:val="auto"/>
          <w:lang w:val="en-US" w:eastAsia="zh-CN"/>
        </w:rPr>
        <w:t>竞选</w:t>
      </w:r>
      <w:r>
        <w:rPr>
          <w:rFonts w:hint="eastAsia" w:ascii="宋体" w:hAnsi="宋体" w:cs="宋体"/>
          <w:color w:val="auto"/>
        </w:rPr>
        <w:t>人资格要求</w:t>
      </w:r>
      <w:r>
        <w:rPr>
          <w:color w:val="auto"/>
        </w:rPr>
        <w:tab/>
      </w:r>
      <w:r>
        <w:rPr>
          <w:color w:val="auto"/>
        </w:rPr>
        <w:fldChar w:fldCharType="begin"/>
      </w:r>
      <w:r>
        <w:rPr>
          <w:color w:val="auto"/>
        </w:rPr>
        <w:instrText xml:space="preserve"> PAGEREF _Toc3249 \h </w:instrText>
      </w:r>
      <w:r>
        <w:rPr>
          <w:color w:val="auto"/>
        </w:rPr>
        <w:fldChar w:fldCharType="separate"/>
      </w:r>
      <w:r>
        <w:rPr>
          <w:color w:val="auto"/>
        </w:rPr>
        <w:t>- 3 -</w:t>
      </w:r>
      <w:r>
        <w:rPr>
          <w:color w:val="auto"/>
        </w:rPr>
        <w:fldChar w:fldCharType="end"/>
      </w:r>
      <w:r>
        <w:rPr>
          <w:color w:val="auto"/>
        </w:rPr>
        <w:fldChar w:fldCharType="end"/>
      </w:r>
    </w:p>
    <w:p w14:paraId="4CB974C5">
      <w:pPr>
        <w:pStyle w:val="46"/>
        <w:tabs>
          <w:tab w:val="right" w:leader="dot" w:pos="9412"/>
          <w:tab w:val="clear" w:pos="8400"/>
        </w:tabs>
        <w:rPr>
          <w:color w:val="auto"/>
        </w:rPr>
      </w:pPr>
      <w:r>
        <w:rPr>
          <w:color w:val="auto"/>
        </w:rPr>
        <w:fldChar w:fldCharType="begin"/>
      </w:r>
      <w:r>
        <w:rPr>
          <w:color w:val="auto"/>
        </w:rPr>
        <w:instrText xml:space="preserve"> HYPERLINK \l _Toc7015 </w:instrText>
      </w:r>
      <w:r>
        <w:rPr>
          <w:color w:val="auto"/>
        </w:rPr>
        <w:fldChar w:fldCharType="separate"/>
      </w:r>
      <w:r>
        <w:rPr>
          <w:rFonts w:hint="eastAsia" w:ascii="宋体" w:hAnsi="宋体" w:cs="宋体"/>
          <w:color w:val="auto"/>
        </w:rPr>
        <w:t>三、竞选有关规定及说明</w:t>
      </w:r>
      <w:r>
        <w:rPr>
          <w:color w:val="auto"/>
        </w:rPr>
        <w:tab/>
      </w:r>
      <w:r>
        <w:rPr>
          <w:color w:val="auto"/>
        </w:rPr>
        <w:fldChar w:fldCharType="begin"/>
      </w:r>
      <w:r>
        <w:rPr>
          <w:color w:val="auto"/>
        </w:rPr>
        <w:instrText xml:space="preserve"> PAGEREF _Toc7015 \h </w:instrText>
      </w:r>
      <w:r>
        <w:rPr>
          <w:color w:val="auto"/>
        </w:rPr>
        <w:fldChar w:fldCharType="separate"/>
      </w:r>
      <w:r>
        <w:rPr>
          <w:color w:val="auto"/>
        </w:rPr>
        <w:t>- 4 -</w:t>
      </w:r>
      <w:r>
        <w:rPr>
          <w:color w:val="auto"/>
        </w:rPr>
        <w:fldChar w:fldCharType="end"/>
      </w:r>
      <w:r>
        <w:rPr>
          <w:color w:val="auto"/>
        </w:rPr>
        <w:fldChar w:fldCharType="end"/>
      </w:r>
    </w:p>
    <w:p w14:paraId="0843955F">
      <w:pPr>
        <w:pStyle w:val="46"/>
        <w:tabs>
          <w:tab w:val="right" w:leader="dot" w:pos="9412"/>
          <w:tab w:val="clear" w:pos="8400"/>
        </w:tabs>
        <w:rPr>
          <w:color w:val="auto"/>
        </w:rPr>
      </w:pPr>
      <w:r>
        <w:rPr>
          <w:color w:val="auto"/>
        </w:rPr>
        <w:fldChar w:fldCharType="begin"/>
      </w:r>
      <w:r>
        <w:rPr>
          <w:color w:val="auto"/>
        </w:rPr>
        <w:instrText xml:space="preserve"> HYPERLINK \l _Toc17341 </w:instrText>
      </w:r>
      <w:r>
        <w:rPr>
          <w:color w:val="auto"/>
        </w:rPr>
        <w:fldChar w:fldCharType="separate"/>
      </w:r>
      <w:r>
        <w:rPr>
          <w:rFonts w:hint="eastAsia" w:ascii="宋体" w:hAnsi="宋体" w:cs="宋体"/>
          <w:bCs/>
          <w:color w:val="auto"/>
          <w:szCs w:val="24"/>
        </w:rPr>
        <w:t>四、报名时间、地点、方式</w:t>
      </w:r>
      <w:r>
        <w:rPr>
          <w:color w:val="auto"/>
        </w:rPr>
        <w:tab/>
      </w:r>
      <w:r>
        <w:rPr>
          <w:color w:val="auto"/>
        </w:rPr>
        <w:fldChar w:fldCharType="begin"/>
      </w:r>
      <w:r>
        <w:rPr>
          <w:color w:val="auto"/>
        </w:rPr>
        <w:instrText xml:space="preserve"> PAGEREF _Toc17341 \h </w:instrText>
      </w:r>
      <w:r>
        <w:rPr>
          <w:color w:val="auto"/>
        </w:rPr>
        <w:fldChar w:fldCharType="separate"/>
      </w:r>
      <w:r>
        <w:rPr>
          <w:color w:val="auto"/>
        </w:rPr>
        <w:t>- 5 -</w:t>
      </w:r>
      <w:r>
        <w:rPr>
          <w:color w:val="auto"/>
        </w:rPr>
        <w:fldChar w:fldCharType="end"/>
      </w:r>
      <w:r>
        <w:rPr>
          <w:color w:val="auto"/>
        </w:rPr>
        <w:fldChar w:fldCharType="end"/>
      </w:r>
    </w:p>
    <w:p w14:paraId="6216082C">
      <w:pPr>
        <w:pStyle w:val="46"/>
        <w:tabs>
          <w:tab w:val="right" w:leader="dot" w:pos="9412"/>
          <w:tab w:val="clear" w:pos="8400"/>
        </w:tabs>
        <w:rPr>
          <w:color w:val="auto"/>
        </w:rPr>
      </w:pPr>
      <w:r>
        <w:rPr>
          <w:color w:val="auto"/>
        </w:rPr>
        <w:fldChar w:fldCharType="begin"/>
      </w:r>
      <w:r>
        <w:rPr>
          <w:color w:val="auto"/>
        </w:rPr>
        <w:instrText xml:space="preserve"> HYPERLINK \l _Toc18950 </w:instrText>
      </w:r>
      <w:r>
        <w:rPr>
          <w:color w:val="auto"/>
        </w:rPr>
        <w:fldChar w:fldCharType="separate"/>
      </w:r>
      <w:r>
        <w:rPr>
          <w:rFonts w:hint="eastAsia" w:ascii="宋体" w:hAnsi="宋体" w:cs="宋体"/>
          <w:color w:val="auto"/>
        </w:rPr>
        <w:t>五、竞选文件递交与采购谈判时间、地点</w:t>
      </w:r>
      <w:r>
        <w:rPr>
          <w:color w:val="auto"/>
        </w:rPr>
        <w:tab/>
      </w:r>
      <w:r>
        <w:rPr>
          <w:color w:val="auto"/>
        </w:rPr>
        <w:fldChar w:fldCharType="begin"/>
      </w:r>
      <w:r>
        <w:rPr>
          <w:color w:val="auto"/>
        </w:rPr>
        <w:instrText xml:space="preserve"> PAGEREF _Toc18950 \h </w:instrText>
      </w:r>
      <w:r>
        <w:rPr>
          <w:color w:val="auto"/>
        </w:rPr>
        <w:fldChar w:fldCharType="separate"/>
      </w:r>
      <w:r>
        <w:rPr>
          <w:color w:val="auto"/>
        </w:rPr>
        <w:t>- 5 -</w:t>
      </w:r>
      <w:r>
        <w:rPr>
          <w:color w:val="auto"/>
        </w:rPr>
        <w:fldChar w:fldCharType="end"/>
      </w:r>
      <w:r>
        <w:rPr>
          <w:color w:val="auto"/>
        </w:rPr>
        <w:fldChar w:fldCharType="end"/>
      </w:r>
    </w:p>
    <w:p w14:paraId="4302BAFC">
      <w:pPr>
        <w:pStyle w:val="46"/>
        <w:tabs>
          <w:tab w:val="right" w:leader="dot" w:pos="9412"/>
          <w:tab w:val="clear" w:pos="8400"/>
        </w:tabs>
        <w:rPr>
          <w:color w:val="auto"/>
        </w:rPr>
      </w:pPr>
      <w:r>
        <w:rPr>
          <w:color w:val="auto"/>
        </w:rPr>
        <w:fldChar w:fldCharType="begin"/>
      </w:r>
      <w:r>
        <w:rPr>
          <w:color w:val="auto"/>
        </w:rPr>
        <w:instrText xml:space="preserve"> HYPERLINK \l _Toc829 </w:instrText>
      </w:r>
      <w:r>
        <w:rPr>
          <w:color w:val="auto"/>
        </w:rPr>
        <w:fldChar w:fldCharType="separate"/>
      </w:r>
      <w:r>
        <w:rPr>
          <w:rFonts w:hint="eastAsia" w:ascii="宋体" w:hAnsi="宋体" w:cs="宋体"/>
          <w:color w:val="auto"/>
        </w:rPr>
        <w:t>六、联系方式</w:t>
      </w:r>
      <w:r>
        <w:rPr>
          <w:color w:val="auto"/>
        </w:rPr>
        <w:tab/>
      </w:r>
      <w:r>
        <w:rPr>
          <w:color w:val="auto"/>
        </w:rPr>
        <w:fldChar w:fldCharType="begin"/>
      </w:r>
      <w:r>
        <w:rPr>
          <w:color w:val="auto"/>
        </w:rPr>
        <w:instrText xml:space="preserve"> PAGEREF _Toc829 \h </w:instrText>
      </w:r>
      <w:r>
        <w:rPr>
          <w:color w:val="auto"/>
        </w:rPr>
        <w:fldChar w:fldCharType="separate"/>
      </w:r>
      <w:r>
        <w:rPr>
          <w:color w:val="auto"/>
        </w:rPr>
        <w:t>- 5 -</w:t>
      </w:r>
      <w:r>
        <w:rPr>
          <w:color w:val="auto"/>
        </w:rPr>
        <w:fldChar w:fldCharType="end"/>
      </w:r>
      <w:r>
        <w:rPr>
          <w:color w:val="auto"/>
        </w:rPr>
        <w:fldChar w:fldCharType="end"/>
      </w:r>
    </w:p>
    <w:p w14:paraId="0E582737">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_Toc21905 </w:instrText>
      </w:r>
      <w:r>
        <w:rPr>
          <w:color w:val="auto"/>
        </w:rPr>
        <w:fldChar w:fldCharType="separate"/>
      </w:r>
      <w:r>
        <w:rPr>
          <w:rFonts w:hint="eastAsia" w:ascii="宋体" w:hAnsi="宋体" w:cs="宋体"/>
          <w:color w:val="auto"/>
          <w:szCs w:val="36"/>
        </w:rPr>
        <w:t>第二篇 技术（质量）与商务需求</w:t>
      </w:r>
      <w:r>
        <w:rPr>
          <w:color w:val="auto"/>
        </w:rPr>
        <w:tab/>
      </w:r>
      <w:r>
        <w:rPr>
          <w:color w:val="auto"/>
        </w:rPr>
        <w:fldChar w:fldCharType="begin"/>
      </w:r>
      <w:r>
        <w:rPr>
          <w:color w:val="auto"/>
        </w:rPr>
        <w:instrText xml:space="preserve"> PAGEREF _Toc21905 \h </w:instrText>
      </w:r>
      <w:r>
        <w:rPr>
          <w:color w:val="auto"/>
        </w:rPr>
        <w:fldChar w:fldCharType="separate"/>
      </w:r>
      <w:r>
        <w:rPr>
          <w:color w:val="auto"/>
        </w:rPr>
        <w:t>- 6 -</w:t>
      </w:r>
      <w:r>
        <w:rPr>
          <w:color w:val="auto"/>
        </w:rPr>
        <w:fldChar w:fldCharType="end"/>
      </w:r>
      <w:r>
        <w:rPr>
          <w:color w:val="auto"/>
        </w:rPr>
        <w:fldChar w:fldCharType="end"/>
      </w:r>
    </w:p>
    <w:p w14:paraId="0C38101B">
      <w:pPr>
        <w:pStyle w:val="46"/>
        <w:tabs>
          <w:tab w:val="right" w:leader="dot" w:pos="9412"/>
          <w:tab w:val="clear" w:pos="8400"/>
        </w:tabs>
        <w:rPr>
          <w:color w:val="auto"/>
        </w:rPr>
      </w:pPr>
      <w:r>
        <w:rPr>
          <w:color w:val="auto"/>
        </w:rPr>
        <w:fldChar w:fldCharType="begin"/>
      </w:r>
      <w:r>
        <w:rPr>
          <w:color w:val="auto"/>
        </w:rPr>
        <w:instrText xml:space="preserve"> HYPERLINK \l _Toc32286 </w:instrText>
      </w:r>
      <w:r>
        <w:rPr>
          <w:color w:val="auto"/>
        </w:rPr>
        <w:fldChar w:fldCharType="separate"/>
      </w:r>
      <w:r>
        <w:rPr>
          <w:rFonts w:hint="eastAsia" w:cs="宋体"/>
          <w:color w:val="auto"/>
        </w:rPr>
        <w:t>一、技术需求（含技术参数）</w:t>
      </w:r>
      <w:r>
        <w:rPr>
          <w:color w:val="auto"/>
        </w:rPr>
        <w:tab/>
      </w:r>
      <w:r>
        <w:rPr>
          <w:color w:val="auto"/>
        </w:rPr>
        <w:fldChar w:fldCharType="begin"/>
      </w:r>
      <w:r>
        <w:rPr>
          <w:color w:val="auto"/>
        </w:rPr>
        <w:instrText xml:space="preserve"> PAGEREF _Toc32286 \h </w:instrText>
      </w:r>
      <w:r>
        <w:rPr>
          <w:color w:val="auto"/>
        </w:rPr>
        <w:fldChar w:fldCharType="separate"/>
      </w:r>
      <w:r>
        <w:rPr>
          <w:color w:val="auto"/>
        </w:rPr>
        <w:t>- 6 -</w:t>
      </w:r>
      <w:r>
        <w:rPr>
          <w:color w:val="auto"/>
        </w:rPr>
        <w:fldChar w:fldCharType="end"/>
      </w:r>
      <w:r>
        <w:rPr>
          <w:color w:val="auto"/>
        </w:rPr>
        <w:fldChar w:fldCharType="end"/>
      </w:r>
    </w:p>
    <w:p w14:paraId="0D051FA6">
      <w:pPr>
        <w:pStyle w:val="46"/>
        <w:tabs>
          <w:tab w:val="right" w:leader="dot" w:pos="9412"/>
          <w:tab w:val="clear" w:pos="8400"/>
        </w:tabs>
        <w:rPr>
          <w:color w:val="auto"/>
        </w:rPr>
      </w:pPr>
      <w:r>
        <w:rPr>
          <w:color w:val="auto"/>
        </w:rPr>
        <w:fldChar w:fldCharType="begin"/>
      </w:r>
      <w:r>
        <w:rPr>
          <w:color w:val="auto"/>
        </w:rPr>
        <w:instrText xml:space="preserve"> HYPERLINK \l _Toc6540 </w:instrText>
      </w:r>
      <w:r>
        <w:rPr>
          <w:color w:val="auto"/>
        </w:rPr>
        <w:fldChar w:fldCharType="separate"/>
      </w:r>
      <w:r>
        <w:rPr>
          <w:rFonts w:hint="default" w:ascii="Times New Roman" w:hAnsi="Times New Roman" w:cs="Times New Roman"/>
          <w:color w:val="auto"/>
        </w:rPr>
        <w:t>二、商务需求</w:t>
      </w:r>
      <w:r>
        <w:rPr>
          <w:color w:val="auto"/>
        </w:rPr>
        <w:tab/>
      </w:r>
      <w:r>
        <w:rPr>
          <w:color w:val="auto"/>
        </w:rPr>
        <w:fldChar w:fldCharType="begin"/>
      </w:r>
      <w:r>
        <w:rPr>
          <w:color w:val="auto"/>
        </w:rPr>
        <w:instrText xml:space="preserve"> PAGEREF _Toc6540 \h </w:instrText>
      </w:r>
      <w:r>
        <w:rPr>
          <w:color w:val="auto"/>
        </w:rPr>
        <w:fldChar w:fldCharType="separate"/>
      </w:r>
      <w:r>
        <w:rPr>
          <w:color w:val="auto"/>
        </w:rPr>
        <w:t>- 6 -</w:t>
      </w:r>
      <w:r>
        <w:rPr>
          <w:color w:val="auto"/>
        </w:rPr>
        <w:fldChar w:fldCharType="end"/>
      </w:r>
      <w:r>
        <w:rPr>
          <w:color w:val="auto"/>
        </w:rPr>
        <w:fldChar w:fldCharType="end"/>
      </w:r>
    </w:p>
    <w:p w14:paraId="6A0A3CE6">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_Toc27893 </w:instrText>
      </w:r>
      <w:r>
        <w:rPr>
          <w:color w:val="auto"/>
        </w:rPr>
        <w:fldChar w:fldCharType="separate"/>
      </w:r>
      <w:r>
        <w:rPr>
          <w:rFonts w:hint="eastAsia" w:ascii="宋体" w:hAnsi="宋体" w:cs="宋体"/>
          <w:color w:val="auto"/>
          <w:szCs w:val="36"/>
        </w:rPr>
        <w:t>第三篇  资格审查及评价办法</w:t>
      </w:r>
      <w:r>
        <w:rPr>
          <w:color w:val="auto"/>
        </w:rPr>
        <w:tab/>
      </w:r>
      <w:r>
        <w:rPr>
          <w:color w:val="auto"/>
        </w:rPr>
        <w:fldChar w:fldCharType="begin"/>
      </w:r>
      <w:r>
        <w:rPr>
          <w:color w:val="auto"/>
        </w:rPr>
        <w:instrText xml:space="preserve"> PAGEREF _Toc27893 \h </w:instrText>
      </w:r>
      <w:r>
        <w:rPr>
          <w:color w:val="auto"/>
        </w:rPr>
        <w:fldChar w:fldCharType="separate"/>
      </w:r>
      <w:r>
        <w:rPr>
          <w:color w:val="auto"/>
        </w:rPr>
        <w:t>- 8 -</w:t>
      </w:r>
      <w:r>
        <w:rPr>
          <w:color w:val="auto"/>
        </w:rPr>
        <w:fldChar w:fldCharType="end"/>
      </w:r>
      <w:r>
        <w:rPr>
          <w:color w:val="auto"/>
        </w:rPr>
        <w:fldChar w:fldCharType="end"/>
      </w:r>
    </w:p>
    <w:p w14:paraId="672B8A2E">
      <w:pPr>
        <w:pStyle w:val="46"/>
        <w:tabs>
          <w:tab w:val="right" w:leader="dot" w:pos="9412"/>
          <w:tab w:val="clear" w:pos="8400"/>
        </w:tabs>
        <w:rPr>
          <w:color w:val="auto"/>
        </w:rPr>
      </w:pPr>
      <w:r>
        <w:rPr>
          <w:color w:val="auto"/>
        </w:rPr>
        <w:fldChar w:fldCharType="begin"/>
      </w:r>
      <w:r>
        <w:rPr>
          <w:color w:val="auto"/>
        </w:rPr>
        <w:instrText xml:space="preserve"> HYPERLINK \l _Toc4818 </w:instrText>
      </w:r>
      <w:r>
        <w:rPr>
          <w:color w:val="auto"/>
        </w:rPr>
        <w:fldChar w:fldCharType="separate"/>
      </w:r>
      <w:r>
        <w:rPr>
          <w:rFonts w:hint="eastAsia" w:cs="宋体"/>
          <w:color w:val="auto"/>
        </w:rPr>
        <w:t>一、资格审查及符合性审查</w:t>
      </w:r>
      <w:r>
        <w:rPr>
          <w:color w:val="auto"/>
        </w:rPr>
        <w:tab/>
      </w:r>
      <w:r>
        <w:rPr>
          <w:color w:val="auto"/>
        </w:rPr>
        <w:fldChar w:fldCharType="begin"/>
      </w:r>
      <w:r>
        <w:rPr>
          <w:color w:val="auto"/>
        </w:rPr>
        <w:instrText xml:space="preserve"> PAGEREF _Toc4818 \h </w:instrText>
      </w:r>
      <w:r>
        <w:rPr>
          <w:color w:val="auto"/>
        </w:rPr>
        <w:fldChar w:fldCharType="separate"/>
      </w:r>
      <w:r>
        <w:rPr>
          <w:color w:val="auto"/>
        </w:rPr>
        <w:t>- 8 -</w:t>
      </w:r>
      <w:r>
        <w:rPr>
          <w:color w:val="auto"/>
        </w:rPr>
        <w:fldChar w:fldCharType="end"/>
      </w:r>
      <w:r>
        <w:rPr>
          <w:color w:val="auto"/>
        </w:rPr>
        <w:fldChar w:fldCharType="end"/>
      </w:r>
    </w:p>
    <w:p w14:paraId="30BABD93">
      <w:pPr>
        <w:pStyle w:val="46"/>
        <w:tabs>
          <w:tab w:val="right" w:leader="dot" w:pos="9412"/>
          <w:tab w:val="clear" w:pos="8400"/>
        </w:tabs>
        <w:rPr>
          <w:color w:val="auto"/>
        </w:rPr>
      </w:pPr>
      <w:r>
        <w:rPr>
          <w:color w:val="auto"/>
        </w:rPr>
        <w:fldChar w:fldCharType="begin"/>
      </w:r>
      <w:r>
        <w:rPr>
          <w:color w:val="auto"/>
        </w:rPr>
        <w:instrText xml:space="preserve"> HYPERLINK \l _Toc19809 </w:instrText>
      </w:r>
      <w:r>
        <w:rPr>
          <w:color w:val="auto"/>
        </w:rPr>
        <w:fldChar w:fldCharType="separate"/>
      </w:r>
      <w:r>
        <w:rPr>
          <w:rFonts w:hint="eastAsia" w:cs="宋体"/>
          <w:color w:val="auto"/>
        </w:rPr>
        <w:t>二、评选方法</w:t>
      </w:r>
      <w:r>
        <w:rPr>
          <w:color w:val="auto"/>
        </w:rPr>
        <w:tab/>
      </w:r>
      <w:r>
        <w:rPr>
          <w:color w:val="auto"/>
        </w:rPr>
        <w:fldChar w:fldCharType="begin"/>
      </w:r>
      <w:r>
        <w:rPr>
          <w:color w:val="auto"/>
        </w:rPr>
        <w:instrText xml:space="preserve"> PAGEREF _Toc19809 \h </w:instrText>
      </w:r>
      <w:r>
        <w:rPr>
          <w:color w:val="auto"/>
        </w:rPr>
        <w:fldChar w:fldCharType="separate"/>
      </w:r>
      <w:r>
        <w:rPr>
          <w:color w:val="auto"/>
        </w:rPr>
        <w:t>- 8 -</w:t>
      </w:r>
      <w:r>
        <w:rPr>
          <w:color w:val="auto"/>
        </w:rPr>
        <w:fldChar w:fldCharType="end"/>
      </w:r>
      <w:r>
        <w:rPr>
          <w:color w:val="auto"/>
        </w:rPr>
        <w:fldChar w:fldCharType="end"/>
      </w:r>
    </w:p>
    <w:p w14:paraId="2C1CDE6C">
      <w:pPr>
        <w:pStyle w:val="46"/>
        <w:tabs>
          <w:tab w:val="right" w:leader="dot" w:pos="9412"/>
          <w:tab w:val="clear" w:pos="8400"/>
        </w:tabs>
        <w:rPr>
          <w:color w:val="auto"/>
        </w:rPr>
      </w:pPr>
      <w:r>
        <w:rPr>
          <w:color w:val="auto"/>
        </w:rPr>
        <w:fldChar w:fldCharType="begin"/>
      </w:r>
      <w:r>
        <w:rPr>
          <w:color w:val="auto"/>
        </w:rPr>
        <w:instrText xml:space="preserve"> HYPERLINK \l _Toc13294 </w:instrText>
      </w:r>
      <w:r>
        <w:rPr>
          <w:color w:val="auto"/>
        </w:rPr>
        <w:fldChar w:fldCharType="separate"/>
      </w:r>
      <w:r>
        <w:rPr>
          <w:rFonts w:hint="eastAsia" w:cs="宋体"/>
          <w:color w:val="auto"/>
          <w:lang w:eastAsia="zh-CN"/>
        </w:rPr>
        <w:t>三、</w:t>
      </w:r>
      <w:r>
        <w:rPr>
          <w:rFonts w:hint="eastAsia" w:cs="宋体"/>
          <w:color w:val="auto"/>
        </w:rPr>
        <w:t>无效竞选条款</w:t>
      </w:r>
      <w:r>
        <w:rPr>
          <w:color w:val="auto"/>
        </w:rPr>
        <w:tab/>
      </w:r>
      <w:r>
        <w:rPr>
          <w:color w:val="auto"/>
        </w:rPr>
        <w:fldChar w:fldCharType="begin"/>
      </w:r>
      <w:r>
        <w:rPr>
          <w:color w:val="auto"/>
        </w:rPr>
        <w:instrText xml:space="preserve"> PAGEREF _Toc13294 \h </w:instrText>
      </w:r>
      <w:r>
        <w:rPr>
          <w:color w:val="auto"/>
        </w:rPr>
        <w:fldChar w:fldCharType="separate"/>
      </w:r>
      <w:r>
        <w:rPr>
          <w:color w:val="auto"/>
        </w:rPr>
        <w:t>- 8 -</w:t>
      </w:r>
      <w:r>
        <w:rPr>
          <w:color w:val="auto"/>
        </w:rPr>
        <w:fldChar w:fldCharType="end"/>
      </w:r>
      <w:r>
        <w:rPr>
          <w:color w:val="auto"/>
        </w:rPr>
        <w:fldChar w:fldCharType="end"/>
      </w:r>
    </w:p>
    <w:p w14:paraId="32406258">
      <w:pPr>
        <w:pStyle w:val="46"/>
        <w:tabs>
          <w:tab w:val="right" w:leader="dot" w:pos="9412"/>
          <w:tab w:val="clear" w:pos="8400"/>
        </w:tabs>
        <w:rPr>
          <w:color w:val="auto"/>
        </w:rPr>
      </w:pPr>
      <w:r>
        <w:rPr>
          <w:color w:val="auto"/>
        </w:rPr>
        <w:fldChar w:fldCharType="begin"/>
      </w:r>
      <w:r>
        <w:rPr>
          <w:color w:val="auto"/>
        </w:rPr>
        <w:instrText xml:space="preserve"> HYPERLINK \l _Toc11654 </w:instrText>
      </w:r>
      <w:r>
        <w:rPr>
          <w:color w:val="auto"/>
        </w:rPr>
        <w:fldChar w:fldCharType="separate"/>
      </w:r>
      <w:r>
        <w:rPr>
          <w:rFonts w:hint="eastAsia" w:cs="宋体"/>
          <w:color w:val="auto"/>
          <w:lang w:eastAsia="zh-CN"/>
        </w:rPr>
        <w:t>四、</w:t>
      </w:r>
      <w:r>
        <w:rPr>
          <w:rFonts w:hint="eastAsia" w:cs="宋体"/>
          <w:color w:val="auto"/>
        </w:rPr>
        <w:t>废标条款</w:t>
      </w:r>
      <w:r>
        <w:rPr>
          <w:color w:val="auto"/>
        </w:rPr>
        <w:tab/>
      </w:r>
      <w:r>
        <w:rPr>
          <w:color w:val="auto"/>
        </w:rPr>
        <w:fldChar w:fldCharType="begin"/>
      </w:r>
      <w:r>
        <w:rPr>
          <w:color w:val="auto"/>
        </w:rPr>
        <w:instrText xml:space="preserve"> PAGEREF _Toc11654 \h </w:instrText>
      </w:r>
      <w:r>
        <w:rPr>
          <w:color w:val="auto"/>
        </w:rPr>
        <w:fldChar w:fldCharType="separate"/>
      </w:r>
      <w:r>
        <w:rPr>
          <w:color w:val="auto"/>
        </w:rPr>
        <w:t>- 8 -</w:t>
      </w:r>
      <w:r>
        <w:rPr>
          <w:color w:val="auto"/>
        </w:rPr>
        <w:fldChar w:fldCharType="end"/>
      </w:r>
      <w:r>
        <w:rPr>
          <w:color w:val="auto"/>
        </w:rPr>
        <w:fldChar w:fldCharType="end"/>
      </w:r>
    </w:p>
    <w:p w14:paraId="68C9E080">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_Toc10547 </w:instrText>
      </w:r>
      <w:r>
        <w:rPr>
          <w:color w:val="auto"/>
        </w:rPr>
        <w:fldChar w:fldCharType="separate"/>
      </w:r>
      <w:r>
        <w:rPr>
          <w:rFonts w:hint="eastAsia" w:ascii="宋体" w:hAnsi="宋体" w:cs="宋体"/>
          <w:color w:val="auto"/>
          <w:szCs w:val="36"/>
        </w:rPr>
        <w:t xml:space="preserve">第四篇  </w:t>
      </w:r>
      <w:r>
        <w:rPr>
          <w:rFonts w:hint="eastAsia" w:ascii="宋体" w:hAnsi="宋体" w:cs="宋体"/>
          <w:bCs/>
          <w:color w:val="auto"/>
          <w:kern w:val="36"/>
          <w:szCs w:val="21"/>
        </w:rPr>
        <w:t>中选通知及合同签订</w:t>
      </w:r>
      <w:r>
        <w:rPr>
          <w:color w:val="auto"/>
        </w:rPr>
        <w:tab/>
      </w:r>
      <w:r>
        <w:rPr>
          <w:color w:val="auto"/>
        </w:rPr>
        <w:fldChar w:fldCharType="begin"/>
      </w:r>
      <w:r>
        <w:rPr>
          <w:color w:val="auto"/>
        </w:rPr>
        <w:instrText xml:space="preserve"> PAGEREF _Toc10547 \h </w:instrText>
      </w:r>
      <w:r>
        <w:rPr>
          <w:color w:val="auto"/>
        </w:rPr>
        <w:fldChar w:fldCharType="separate"/>
      </w:r>
      <w:r>
        <w:rPr>
          <w:color w:val="auto"/>
        </w:rPr>
        <w:t>- 10 -</w:t>
      </w:r>
      <w:r>
        <w:rPr>
          <w:color w:val="auto"/>
        </w:rPr>
        <w:fldChar w:fldCharType="end"/>
      </w:r>
      <w:r>
        <w:rPr>
          <w:color w:val="auto"/>
        </w:rPr>
        <w:fldChar w:fldCharType="end"/>
      </w:r>
    </w:p>
    <w:p w14:paraId="62F33D5C">
      <w:pPr>
        <w:pStyle w:val="46"/>
        <w:tabs>
          <w:tab w:val="right" w:leader="dot" w:pos="9412"/>
          <w:tab w:val="clear" w:pos="8400"/>
        </w:tabs>
        <w:rPr>
          <w:color w:val="auto"/>
        </w:rPr>
      </w:pPr>
      <w:r>
        <w:rPr>
          <w:color w:val="auto"/>
        </w:rPr>
        <w:fldChar w:fldCharType="begin"/>
      </w:r>
      <w:r>
        <w:rPr>
          <w:color w:val="auto"/>
        </w:rPr>
        <w:instrText xml:space="preserve"> HYPERLINK \l _Toc27709 </w:instrText>
      </w:r>
      <w:r>
        <w:rPr>
          <w:color w:val="auto"/>
        </w:rPr>
        <w:fldChar w:fldCharType="separate"/>
      </w:r>
      <w:r>
        <w:rPr>
          <w:rFonts w:hint="eastAsia" w:ascii="宋体" w:hAnsi="宋体" w:cs="宋体"/>
          <w:bCs/>
          <w:color w:val="auto"/>
          <w:szCs w:val="24"/>
        </w:rPr>
        <w:t>一</w:t>
      </w:r>
      <w:r>
        <w:rPr>
          <w:rFonts w:hint="eastAsia" w:cs="宋体"/>
          <w:color w:val="auto"/>
        </w:rPr>
        <w:t>、中选通知</w:t>
      </w:r>
      <w:r>
        <w:rPr>
          <w:color w:val="auto"/>
        </w:rPr>
        <w:tab/>
      </w:r>
      <w:r>
        <w:rPr>
          <w:color w:val="auto"/>
        </w:rPr>
        <w:fldChar w:fldCharType="begin"/>
      </w:r>
      <w:r>
        <w:rPr>
          <w:color w:val="auto"/>
        </w:rPr>
        <w:instrText xml:space="preserve"> PAGEREF _Toc27709 \h </w:instrText>
      </w:r>
      <w:r>
        <w:rPr>
          <w:color w:val="auto"/>
        </w:rPr>
        <w:fldChar w:fldCharType="separate"/>
      </w:r>
      <w:r>
        <w:rPr>
          <w:color w:val="auto"/>
        </w:rPr>
        <w:t>- 10 -</w:t>
      </w:r>
      <w:r>
        <w:rPr>
          <w:color w:val="auto"/>
        </w:rPr>
        <w:fldChar w:fldCharType="end"/>
      </w:r>
      <w:r>
        <w:rPr>
          <w:color w:val="auto"/>
        </w:rPr>
        <w:fldChar w:fldCharType="end"/>
      </w:r>
    </w:p>
    <w:p w14:paraId="1A83EAFA">
      <w:pPr>
        <w:pStyle w:val="46"/>
        <w:tabs>
          <w:tab w:val="right" w:leader="dot" w:pos="9412"/>
          <w:tab w:val="clear" w:pos="8400"/>
        </w:tabs>
        <w:rPr>
          <w:color w:val="auto"/>
        </w:rPr>
      </w:pPr>
      <w:r>
        <w:rPr>
          <w:color w:val="auto"/>
        </w:rPr>
        <w:fldChar w:fldCharType="begin"/>
      </w:r>
      <w:r>
        <w:rPr>
          <w:color w:val="auto"/>
        </w:rPr>
        <w:instrText xml:space="preserve"> HYPERLINK \l _Toc29342 </w:instrText>
      </w:r>
      <w:r>
        <w:rPr>
          <w:color w:val="auto"/>
        </w:rPr>
        <w:fldChar w:fldCharType="separate"/>
      </w:r>
      <w:r>
        <w:rPr>
          <w:rFonts w:hint="eastAsia" w:ascii="宋体" w:hAnsi="宋体" w:cs="宋体"/>
          <w:bCs/>
          <w:color w:val="auto"/>
          <w:szCs w:val="24"/>
        </w:rPr>
        <w:t>二、采购人有拒绝任何或所有竞选的</w:t>
      </w:r>
      <w:r>
        <w:rPr>
          <w:rFonts w:hint="eastAsia" w:ascii="宋体" w:hAnsi="宋体" w:eastAsia="宋体" w:cs="宋体"/>
          <w:bCs/>
          <w:color w:val="auto"/>
          <w:szCs w:val="24"/>
        </w:rPr>
        <w:t>权力</w:t>
      </w:r>
      <w:r>
        <w:rPr>
          <w:color w:val="auto"/>
        </w:rPr>
        <w:tab/>
      </w:r>
      <w:r>
        <w:rPr>
          <w:color w:val="auto"/>
        </w:rPr>
        <w:fldChar w:fldCharType="begin"/>
      </w:r>
      <w:r>
        <w:rPr>
          <w:color w:val="auto"/>
        </w:rPr>
        <w:instrText xml:space="preserve"> PAGEREF _Toc29342 \h </w:instrText>
      </w:r>
      <w:r>
        <w:rPr>
          <w:color w:val="auto"/>
        </w:rPr>
        <w:fldChar w:fldCharType="separate"/>
      </w:r>
      <w:r>
        <w:rPr>
          <w:color w:val="auto"/>
        </w:rPr>
        <w:t>- 10 -</w:t>
      </w:r>
      <w:r>
        <w:rPr>
          <w:color w:val="auto"/>
        </w:rPr>
        <w:fldChar w:fldCharType="end"/>
      </w:r>
      <w:r>
        <w:rPr>
          <w:color w:val="auto"/>
        </w:rPr>
        <w:fldChar w:fldCharType="end"/>
      </w:r>
    </w:p>
    <w:p w14:paraId="5C457249">
      <w:pPr>
        <w:pStyle w:val="46"/>
        <w:tabs>
          <w:tab w:val="right" w:leader="dot" w:pos="9412"/>
          <w:tab w:val="clear" w:pos="8400"/>
        </w:tabs>
        <w:rPr>
          <w:color w:val="auto"/>
        </w:rPr>
      </w:pPr>
      <w:r>
        <w:rPr>
          <w:color w:val="auto"/>
        </w:rPr>
        <w:fldChar w:fldCharType="begin"/>
      </w:r>
      <w:r>
        <w:rPr>
          <w:color w:val="auto"/>
        </w:rPr>
        <w:instrText xml:space="preserve"> HYPERLINK \l _Toc23535 </w:instrText>
      </w:r>
      <w:r>
        <w:rPr>
          <w:color w:val="auto"/>
        </w:rPr>
        <w:fldChar w:fldCharType="separate"/>
      </w:r>
      <w:r>
        <w:rPr>
          <w:rFonts w:hint="eastAsia" w:ascii="宋体" w:hAnsi="宋体" w:cs="宋体"/>
          <w:bCs/>
          <w:color w:val="auto"/>
          <w:szCs w:val="24"/>
        </w:rPr>
        <w:t>三、合同协议书的签订</w:t>
      </w:r>
      <w:r>
        <w:rPr>
          <w:color w:val="auto"/>
        </w:rPr>
        <w:tab/>
      </w:r>
      <w:r>
        <w:rPr>
          <w:color w:val="auto"/>
        </w:rPr>
        <w:fldChar w:fldCharType="begin"/>
      </w:r>
      <w:r>
        <w:rPr>
          <w:color w:val="auto"/>
        </w:rPr>
        <w:instrText xml:space="preserve"> PAGEREF _Toc23535 \h </w:instrText>
      </w:r>
      <w:r>
        <w:rPr>
          <w:color w:val="auto"/>
        </w:rPr>
        <w:fldChar w:fldCharType="separate"/>
      </w:r>
      <w:r>
        <w:rPr>
          <w:color w:val="auto"/>
        </w:rPr>
        <w:t>- 10 -</w:t>
      </w:r>
      <w:r>
        <w:rPr>
          <w:color w:val="auto"/>
        </w:rPr>
        <w:fldChar w:fldCharType="end"/>
      </w:r>
      <w:r>
        <w:rPr>
          <w:color w:val="auto"/>
        </w:rPr>
        <w:fldChar w:fldCharType="end"/>
      </w:r>
    </w:p>
    <w:p w14:paraId="336094ED">
      <w:pPr>
        <w:pStyle w:val="46"/>
        <w:tabs>
          <w:tab w:val="right" w:leader="dot" w:pos="9412"/>
          <w:tab w:val="clear" w:pos="8400"/>
        </w:tabs>
        <w:rPr>
          <w:color w:val="auto"/>
        </w:rPr>
      </w:pPr>
      <w:r>
        <w:rPr>
          <w:color w:val="auto"/>
        </w:rPr>
        <w:fldChar w:fldCharType="begin"/>
      </w:r>
      <w:r>
        <w:rPr>
          <w:color w:val="auto"/>
        </w:rPr>
        <w:instrText xml:space="preserve"> HYPERLINK \l _Toc10698 </w:instrText>
      </w:r>
      <w:r>
        <w:rPr>
          <w:color w:val="auto"/>
        </w:rPr>
        <w:fldChar w:fldCharType="separate"/>
      </w:r>
      <w:r>
        <w:rPr>
          <w:rFonts w:hint="eastAsia" w:ascii="宋体" w:hAnsi="宋体" w:cs="宋体"/>
          <w:bCs/>
          <w:color w:val="auto"/>
          <w:szCs w:val="24"/>
        </w:rPr>
        <w:t>四、其它</w:t>
      </w:r>
      <w:r>
        <w:rPr>
          <w:color w:val="auto"/>
        </w:rPr>
        <w:tab/>
      </w:r>
      <w:r>
        <w:rPr>
          <w:color w:val="auto"/>
        </w:rPr>
        <w:fldChar w:fldCharType="begin"/>
      </w:r>
      <w:r>
        <w:rPr>
          <w:color w:val="auto"/>
        </w:rPr>
        <w:instrText xml:space="preserve"> PAGEREF _Toc10698 \h </w:instrText>
      </w:r>
      <w:r>
        <w:rPr>
          <w:color w:val="auto"/>
        </w:rPr>
        <w:fldChar w:fldCharType="separate"/>
      </w:r>
      <w:r>
        <w:rPr>
          <w:color w:val="auto"/>
        </w:rPr>
        <w:t>- 10 -</w:t>
      </w:r>
      <w:r>
        <w:rPr>
          <w:color w:val="auto"/>
        </w:rPr>
        <w:fldChar w:fldCharType="end"/>
      </w:r>
      <w:r>
        <w:rPr>
          <w:color w:val="auto"/>
        </w:rPr>
        <w:fldChar w:fldCharType="end"/>
      </w:r>
    </w:p>
    <w:p w14:paraId="13EFD9A5">
      <w:pPr>
        <w:pStyle w:val="38"/>
        <w:tabs>
          <w:tab w:val="right" w:leader="dot" w:pos="9412"/>
          <w:tab w:val="clear" w:pos="1260"/>
          <w:tab w:val="clear" w:pos="1685"/>
          <w:tab w:val="clear" w:pos="8400"/>
        </w:tabs>
        <w:rPr>
          <w:color w:val="auto"/>
        </w:rPr>
      </w:pPr>
      <w:r>
        <w:rPr>
          <w:color w:val="auto"/>
        </w:rPr>
        <w:fldChar w:fldCharType="begin"/>
      </w:r>
      <w:r>
        <w:rPr>
          <w:color w:val="auto"/>
        </w:rPr>
        <w:instrText xml:space="preserve"> HYPERLINK \l _Toc25920 </w:instrText>
      </w:r>
      <w:r>
        <w:rPr>
          <w:color w:val="auto"/>
        </w:rPr>
        <w:fldChar w:fldCharType="separate"/>
      </w:r>
      <w:r>
        <w:rPr>
          <w:rFonts w:hint="eastAsia" w:ascii="宋体" w:hAnsi="宋体" w:cs="宋体"/>
          <w:color w:val="auto"/>
          <w:szCs w:val="40"/>
        </w:rPr>
        <w:t>第五篇  采购文件格式</w:t>
      </w:r>
      <w:r>
        <w:rPr>
          <w:color w:val="auto"/>
        </w:rPr>
        <w:tab/>
      </w:r>
      <w:r>
        <w:rPr>
          <w:color w:val="auto"/>
        </w:rPr>
        <w:fldChar w:fldCharType="begin"/>
      </w:r>
      <w:r>
        <w:rPr>
          <w:color w:val="auto"/>
        </w:rPr>
        <w:instrText xml:space="preserve"> PAGEREF _Toc25920 \h </w:instrText>
      </w:r>
      <w:r>
        <w:rPr>
          <w:color w:val="auto"/>
        </w:rPr>
        <w:fldChar w:fldCharType="separate"/>
      </w:r>
      <w:r>
        <w:rPr>
          <w:color w:val="auto"/>
        </w:rPr>
        <w:t>- 11 -</w:t>
      </w:r>
      <w:r>
        <w:rPr>
          <w:color w:val="auto"/>
        </w:rPr>
        <w:fldChar w:fldCharType="end"/>
      </w:r>
      <w:r>
        <w:rPr>
          <w:color w:val="auto"/>
        </w:rPr>
        <w:fldChar w:fldCharType="end"/>
      </w:r>
    </w:p>
    <w:p w14:paraId="0CA5118E">
      <w:pPr>
        <w:pStyle w:val="46"/>
        <w:tabs>
          <w:tab w:val="right" w:leader="dot" w:pos="9412"/>
          <w:tab w:val="clear" w:pos="8400"/>
        </w:tabs>
        <w:rPr>
          <w:color w:val="auto"/>
        </w:rPr>
      </w:pPr>
      <w:r>
        <w:rPr>
          <w:color w:val="auto"/>
        </w:rPr>
        <w:fldChar w:fldCharType="begin"/>
      </w:r>
      <w:r>
        <w:rPr>
          <w:color w:val="auto"/>
        </w:rPr>
        <w:instrText xml:space="preserve"> HYPERLINK \l _Toc15483 </w:instrText>
      </w:r>
      <w:r>
        <w:rPr>
          <w:color w:val="auto"/>
        </w:rPr>
        <w:fldChar w:fldCharType="separate"/>
      </w:r>
      <w:r>
        <w:rPr>
          <w:rFonts w:hint="eastAsia" w:cs="宋体"/>
          <w:color w:val="auto"/>
          <w:szCs w:val="28"/>
          <w:lang w:eastAsia="zh-CN"/>
        </w:rPr>
        <w:t>一</w:t>
      </w:r>
      <w:r>
        <w:rPr>
          <w:rFonts w:hint="eastAsia" w:cs="宋体"/>
          <w:color w:val="auto"/>
          <w:szCs w:val="28"/>
        </w:rPr>
        <w:t>、</w:t>
      </w:r>
      <w:r>
        <w:rPr>
          <w:rFonts w:hint="eastAsia" w:cs="宋体"/>
          <w:color w:val="auto"/>
          <w:szCs w:val="28"/>
          <w:lang w:eastAsia="zh-CN"/>
        </w:rPr>
        <w:t>经济</w:t>
      </w:r>
      <w:r>
        <w:rPr>
          <w:rFonts w:hint="eastAsia" w:cs="宋体"/>
          <w:color w:val="auto"/>
          <w:szCs w:val="28"/>
        </w:rPr>
        <w:t>文件</w:t>
      </w:r>
      <w:r>
        <w:rPr>
          <w:color w:val="auto"/>
        </w:rPr>
        <w:tab/>
      </w:r>
      <w:r>
        <w:rPr>
          <w:color w:val="auto"/>
        </w:rPr>
        <w:fldChar w:fldCharType="begin"/>
      </w:r>
      <w:r>
        <w:rPr>
          <w:color w:val="auto"/>
        </w:rPr>
        <w:instrText xml:space="preserve"> PAGEREF _Toc15483 \h </w:instrText>
      </w:r>
      <w:r>
        <w:rPr>
          <w:color w:val="auto"/>
        </w:rPr>
        <w:fldChar w:fldCharType="separate"/>
      </w:r>
      <w:r>
        <w:rPr>
          <w:color w:val="auto"/>
        </w:rPr>
        <w:t>- 14 -</w:t>
      </w:r>
      <w:r>
        <w:rPr>
          <w:color w:val="auto"/>
        </w:rPr>
        <w:fldChar w:fldCharType="end"/>
      </w:r>
      <w:r>
        <w:rPr>
          <w:color w:val="auto"/>
        </w:rPr>
        <w:fldChar w:fldCharType="end"/>
      </w:r>
    </w:p>
    <w:p w14:paraId="4DE2D3D6">
      <w:pPr>
        <w:pStyle w:val="46"/>
        <w:tabs>
          <w:tab w:val="right" w:leader="dot" w:pos="9412"/>
          <w:tab w:val="clear" w:pos="8400"/>
        </w:tabs>
        <w:rPr>
          <w:color w:val="auto"/>
        </w:rPr>
      </w:pPr>
      <w:r>
        <w:rPr>
          <w:color w:val="auto"/>
        </w:rPr>
        <w:fldChar w:fldCharType="begin"/>
      </w:r>
      <w:r>
        <w:rPr>
          <w:color w:val="auto"/>
        </w:rPr>
        <w:instrText xml:space="preserve"> HYPERLINK \l _Toc28644 </w:instrText>
      </w:r>
      <w:r>
        <w:rPr>
          <w:color w:val="auto"/>
        </w:rPr>
        <w:fldChar w:fldCharType="separate"/>
      </w:r>
      <w:r>
        <w:rPr>
          <w:rFonts w:hint="eastAsia" w:cs="宋体"/>
          <w:color w:val="auto"/>
          <w:szCs w:val="28"/>
        </w:rPr>
        <w:t>二、技术（质量）文件</w:t>
      </w:r>
      <w:r>
        <w:rPr>
          <w:color w:val="auto"/>
        </w:rPr>
        <w:tab/>
      </w:r>
      <w:r>
        <w:rPr>
          <w:color w:val="auto"/>
        </w:rPr>
        <w:fldChar w:fldCharType="begin"/>
      </w:r>
      <w:r>
        <w:rPr>
          <w:color w:val="auto"/>
        </w:rPr>
        <w:instrText xml:space="preserve"> PAGEREF _Toc28644 \h </w:instrText>
      </w:r>
      <w:r>
        <w:rPr>
          <w:color w:val="auto"/>
        </w:rPr>
        <w:fldChar w:fldCharType="separate"/>
      </w:r>
      <w:r>
        <w:rPr>
          <w:color w:val="auto"/>
        </w:rPr>
        <w:t>- 18 -</w:t>
      </w:r>
      <w:r>
        <w:rPr>
          <w:color w:val="auto"/>
        </w:rPr>
        <w:fldChar w:fldCharType="end"/>
      </w:r>
      <w:r>
        <w:rPr>
          <w:color w:val="auto"/>
        </w:rPr>
        <w:fldChar w:fldCharType="end"/>
      </w:r>
    </w:p>
    <w:p w14:paraId="3171292B">
      <w:pPr>
        <w:pStyle w:val="46"/>
        <w:tabs>
          <w:tab w:val="right" w:leader="dot" w:pos="9412"/>
          <w:tab w:val="clear" w:pos="8400"/>
        </w:tabs>
        <w:rPr>
          <w:color w:val="auto"/>
        </w:rPr>
      </w:pPr>
      <w:r>
        <w:rPr>
          <w:color w:val="auto"/>
        </w:rPr>
        <w:fldChar w:fldCharType="begin"/>
      </w:r>
      <w:r>
        <w:rPr>
          <w:color w:val="auto"/>
        </w:rPr>
        <w:instrText xml:space="preserve"> HYPERLINK \l _Toc26764 </w:instrText>
      </w:r>
      <w:r>
        <w:rPr>
          <w:color w:val="auto"/>
        </w:rPr>
        <w:fldChar w:fldCharType="separate"/>
      </w:r>
      <w:r>
        <w:rPr>
          <w:rFonts w:hint="eastAsia" w:cs="宋体"/>
          <w:color w:val="auto"/>
          <w:szCs w:val="28"/>
        </w:rPr>
        <w:t>三、商务文件</w:t>
      </w:r>
      <w:r>
        <w:rPr>
          <w:color w:val="auto"/>
        </w:rPr>
        <w:tab/>
      </w:r>
      <w:r>
        <w:rPr>
          <w:color w:val="auto"/>
        </w:rPr>
        <w:fldChar w:fldCharType="begin"/>
      </w:r>
      <w:r>
        <w:rPr>
          <w:color w:val="auto"/>
        </w:rPr>
        <w:instrText xml:space="preserve"> PAGEREF _Toc26764 \h </w:instrText>
      </w:r>
      <w:r>
        <w:rPr>
          <w:color w:val="auto"/>
        </w:rPr>
        <w:fldChar w:fldCharType="separate"/>
      </w:r>
      <w:r>
        <w:rPr>
          <w:color w:val="auto"/>
        </w:rPr>
        <w:t>- 19 -</w:t>
      </w:r>
      <w:r>
        <w:rPr>
          <w:color w:val="auto"/>
        </w:rPr>
        <w:fldChar w:fldCharType="end"/>
      </w:r>
      <w:r>
        <w:rPr>
          <w:color w:val="auto"/>
        </w:rPr>
        <w:fldChar w:fldCharType="end"/>
      </w:r>
    </w:p>
    <w:p w14:paraId="57A3AE65">
      <w:pPr>
        <w:pStyle w:val="46"/>
        <w:tabs>
          <w:tab w:val="right" w:leader="dot" w:pos="9412"/>
          <w:tab w:val="clear" w:pos="8400"/>
        </w:tabs>
        <w:rPr>
          <w:color w:val="auto"/>
        </w:rPr>
      </w:pPr>
      <w:r>
        <w:rPr>
          <w:color w:val="auto"/>
        </w:rPr>
        <w:fldChar w:fldCharType="begin"/>
      </w:r>
      <w:r>
        <w:rPr>
          <w:color w:val="auto"/>
        </w:rPr>
        <w:instrText xml:space="preserve"> HYPERLINK \l _Toc19291 </w:instrText>
      </w:r>
      <w:r>
        <w:rPr>
          <w:color w:val="auto"/>
        </w:rPr>
        <w:fldChar w:fldCharType="separate"/>
      </w:r>
      <w:r>
        <w:rPr>
          <w:rFonts w:hint="eastAsia" w:cs="宋体"/>
          <w:color w:val="auto"/>
          <w:szCs w:val="28"/>
        </w:rPr>
        <w:t>四、资格文件</w:t>
      </w:r>
      <w:r>
        <w:rPr>
          <w:color w:val="auto"/>
        </w:rPr>
        <w:tab/>
      </w:r>
      <w:r>
        <w:rPr>
          <w:color w:val="auto"/>
        </w:rPr>
        <w:fldChar w:fldCharType="begin"/>
      </w:r>
      <w:r>
        <w:rPr>
          <w:color w:val="auto"/>
        </w:rPr>
        <w:instrText xml:space="preserve"> PAGEREF _Toc19291 \h </w:instrText>
      </w:r>
      <w:r>
        <w:rPr>
          <w:color w:val="auto"/>
        </w:rPr>
        <w:fldChar w:fldCharType="separate"/>
      </w:r>
      <w:r>
        <w:rPr>
          <w:color w:val="auto"/>
        </w:rPr>
        <w:t>- 21 -</w:t>
      </w:r>
      <w:r>
        <w:rPr>
          <w:color w:val="auto"/>
        </w:rPr>
        <w:fldChar w:fldCharType="end"/>
      </w:r>
      <w:r>
        <w:rPr>
          <w:color w:val="auto"/>
        </w:rPr>
        <w:fldChar w:fldCharType="end"/>
      </w:r>
    </w:p>
    <w:p w14:paraId="728122EF">
      <w:pPr>
        <w:pStyle w:val="46"/>
        <w:tabs>
          <w:tab w:val="right" w:leader="dot" w:pos="9412"/>
          <w:tab w:val="clear" w:pos="8400"/>
        </w:tabs>
        <w:rPr>
          <w:color w:val="auto"/>
        </w:rPr>
      </w:pPr>
      <w:r>
        <w:rPr>
          <w:color w:val="auto"/>
        </w:rPr>
        <w:fldChar w:fldCharType="begin"/>
      </w:r>
      <w:r>
        <w:rPr>
          <w:color w:val="auto"/>
        </w:rPr>
        <w:instrText xml:space="preserve"> HYPERLINK \l _Toc27718 </w:instrText>
      </w:r>
      <w:r>
        <w:rPr>
          <w:color w:val="auto"/>
        </w:rPr>
        <w:fldChar w:fldCharType="separate"/>
      </w:r>
      <w:r>
        <w:rPr>
          <w:rFonts w:hint="eastAsia" w:cs="宋体"/>
          <w:color w:val="auto"/>
          <w:szCs w:val="28"/>
        </w:rPr>
        <w:t>五、商业活动廉洁经营承诺书</w:t>
      </w:r>
      <w:r>
        <w:rPr>
          <w:color w:val="auto"/>
        </w:rPr>
        <w:tab/>
      </w:r>
      <w:r>
        <w:rPr>
          <w:color w:val="auto"/>
        </w:rPr>
        <w:fldChar w:fldCharType="begin"/>
      </w:r>
      <w:r>
        <w:rPr>
          <w:color w:val="auto"/>
        </w:rPr>
        <w:instrText xml:space="preserve"> PAGEREF _Toc27718 \h </w:instrText>
      </w:r>
      <w:r>
        <w:rPr>
          <w:color w:val="auto"/>
        </w:rPr>
        <w:fldChar w:fldCharType="separate"/>
      </w:r>
      <w:r>
        <w:rPr>
          <w:color w:val="auto"/>
        </w:rPr>
        <w:t>- 25 -</w:t>
      </w:r>
      <w:r>
        <w:rPr>
          <w:color w:val="auto"/>
        </w:rPr>
        <w:fldChar w:fldCharType="end"/>
      </w:r>
      <w:r>
        <w:rPr>
          <w:color w:val="auto"/>
        </w:rPr>
        <w:fldChar w:fldCharType="end"/>
      </w:r>
    </w:p>
    <w:p w14:paraId="43475A60">
      <w:pPr>
        <w:spacing w:line="400" w:lineRule="exact"/>
        <w:rPr>
          <w:color w:val="auto"/>
        </w:rPr>
      </w:pPr>
      <w:r>
        <w:rPr>
          <w:color w:val="auto"/>
        </w:rPr>
        <w:fldChar w:fldCharType="end"/>
      </w:r>
    </w:p>
    <w:p w14:paraId="34DF904E">
      <w:pPr>
        <w:pStyle w:val="46"/>
        <w:tabs>
          <w:tab w:val="right" w:leader="dot" w:pos="9412"/>
          <w:tab w:val="clear" w:pos="8400"/>
        </w:tabs>
        <w:ind w:left="0" w:firstLine="0" w:firstLineChars="0"/>
        <w:jc w:val="center"/>
        <w:rPr>
          <w:rFonts w:hint="eastAsia" w:ascii="宋体" w:hAnsi="宋体" w:cs="宋体"/>
          <w:color w:val="auto"/>
          <w:szCs w:val="24"/>
        </w:rPr>
      </w:pPr>
      <w:r>
        <w:rPr>
          <w:rFonts w:hint="eastAsia" w:ascii="宋体" w:hAnsi="宋体" w:cs="宋体"/>
          <w:color w:val="auto"/>
          <w:szCs w:val="24"/>
        </w:rPr>
        <w:br w:type="column"/>
      </w:r>
    </w:p>
    <w:p w14:paraId="42B69A2A">
      <w:pPr>
        <w:pStyle w:val="46"/>
        <w:tabs>
          <w:tab w:val="right" w:leader="dot" w:pos="9412"/>
          <w:tab w:val="clear" w:pos="8400"/>
        </w:tabs>
        <w:ind w:left="0" w:firstLine="0" w:firstLineChars="0"/>
        <w:jc w:val="center"/>
        <w:outlineLvl w:val="0"/>
        <w:rPr>
          <w:rFonts w:hint="eastAsia" w:ascii="宋体" w:hAnsi="宋体" w:cs="宋体"/>
          <w:b/>
          <w:color w:val="auto"/>
          <w:szCs w:val="36"/>
        </w:rPr>
      </w:pPr>
      <w:bookmarkStart w:id="5" w:name="_Toc10781"/>
      <w:bookmarkStart w:id="6" w:name="_Toc16417"/>
      <w:r>
        <w:rPr>
          <w:rFonts w:hint="eastAsia" w:ascii="宋体" w:hAnsi="宋体" w:cs="宋体"/>
          <w:b/>
          <w:color w:val="auto"/>
          <w:sz w:val="36"/>
          <w:szCs w:val="48"/>
        </w:rPr>
        <w:t>第一篇 采购邀请书</w:t>
      </w:r>
      <w:bookmarkEnd w:id="0"/>
      <w:bookmarkEnd w:id="1"/>
      <w:bookmarkEnd w:id="2"/>
      <w:bookmarkEnd w:id="3"/>
      <w:bookmarkEnd w:id="4"/>
      <w:bookmarkEnd w:id="5"/>
      <w:bookmarkEnd w:id="6"/>
    </w:p>
    <w:p w14:paraId="7E09F00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重庆医科大学附属第二医院须购置一批</w:t>
      </w:r>
      <w:r>
        <w:rPr>
          <w:rFonts w:hint="eastAsia" w:ascii="宋体" w:hAnsi="宋体" w:cs="宋体"/>
          <w:color w:val="auto"/>
          <w:sz w:val="24"/>
          <w:szCs w:val="24"/>
          <w:lang w:val="en-US" w:eastAsia="zh-CN"/>
        </w:rPr>
        <w:t>耗材</w:t>
      </w:r>
      <w:r>
        <w:rPr>
          <w:rFonts w:hint="eastAsia" w:ascii="宋体" w:hAnsi="宋体" w:cs="宋体"/>
          <w:color w:val="auto"/>
          <w:sz w:val="24"/>
          <w:szCs w:val="24"/>
        </w:rPr>
        <w:t>，现邀请具有能力提供本采购项目的合格供应商参与竞选。</w:t>
      </w:r>
    </w:p>
    <w:p w14:paraId="3A7B904B">
      <w:pPr>
        <w:widowControl/>
        <w:spacing w:line="400" w:lineRule="exact"/>
        <w:outlineLvl w:val="1"/>
        <w:rPr>
          <w:rFonts w:hint="eastAsia" w:ascii="宋体" w:hAnsi="宋体" w:cs="宋体"/>
          <w:color w:val="auto"/>
          <w:sz w:val="24"/>
          <w:szCs w:val="24"/>
        </w:rPr>
      </w:pPr>
      <w:bookmarkStart w:id="7" w:name="_Toc28264"/>
      <w:bookmarkStart w:id="8" w:name="_Toc22435"/>
      <w:bookmarkStart w:id="9" w:name="_Toc76373864"/>
      <w:bookmarkStart w:id="10" w:name="_Toc15376"/>
      <w:bookmarkStart w:id="11" w:name="_Toc5909"/>
      <w:bookmarkStart w:id="12" w:name="_Toc11603"/>
      <w:bookmarkStart w:id="13" w:name="_Toc17192"/>
      <w:r>
        <w:rPr>
          <w:rFonts w:hint="eastAsia" w:ascii="宋体" w:hAnsi="宋体" w:cs="宋体"/>
          <w:color w:val="auto"/>
          <w:sz w:val="24"/>
          <w:szCs w:val="24"/>
        </w:rPr>
        <w:t>一、采购项目</w:t>
      </w:r>
      <w:bookmarkEnd w:id="7"/>
      <w:bookmarkEnd w:id="8"/>
      <w:bookmarkEnd w:id="9"/>
      <w:bookmarkEnd w:id="10"/>
      <w:bookmarkEnd w:id="11"/>
      <w:r>
        <w:rPr>
          <w:rFonts w:hint="eastAsia" w:ascii="宋体" w:hAnsi="宋体" w:cs="宋体"/>
          <w:color w:val="auto"/>
          <w:sz w:val="24"/>
          <w:szCs w:val="24"/>
        </w:rPr>
        <w:t>基本情况</w:t>
      </w:r>
      <w:bookmarkEnd w:id="12"/>
      <w:bookmarkEnd w:id="13"/>
    </w:p>
    <w:p w14:paraId="77569357">
      <w:pPr>
        <w:widowControl/>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项目名称：</w:t>
      </w:r>
      <w:r>
        <w:rPr>
          <w:rFonts w:hint="eastAsia" w:ascii="宋体" w:hAnsi="宋体" w:cs="宋体"/>
          <w:color w:val="auto"/>
          <w:sz w:val="24"/>
          <w:szCs w:val="24"/>
          <w:lang w:val="en-US" w:eastAsia="zh-CN"/>
        </w:rPr>
        <w:t>血液肿瘤NGS</w:t>
      </w:r>
    </w:p>
    <w:p w14:paraId="16CE4E12">
      <w:pPr>
        <w:widowControl/>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采购方式：公开</w:t>
      </w:r>
      <w:r>
        <w:rPr>
          <w:rFonts w:hint="eastAsia" w:ascii="宋体" w:hAnsi="宋体" w:cs="宋体"/>
          <w:color w:val="auto"/>
          <w:sz w:val="24"/>
          <w:szCs w:val="24"/>
          <w:lang w:val="en-US" w:eastAsia="zh-CN"/>
        </w:rPr>
        <w:t>比选</w:t>
      </w:r>
    </w:p>
    <w:p w14:paraId="2FFDC5AA">
      <w:pPr>
        <w:widowControl/>
        <w:spacing w:line="400" w:lineRule="exact"/>
        <w:ind w:firstLine="480" w:firstLineChars="200"/>
        <w:rPr>
          <w:rFonts w:ascii="宋体" w:hAnsi="宋体" w:cs="宋体"/>
          <w:color w:val="auto"/>
          <w:sz w:val="24"/>
          <w:szCs w:val="24"/>
        </w:rPr>
      </w:pPr>
      <w:r>
        <w:rPr>
          <w:rFonts w:hint="eastAsia" w:ascii="宋体" w:hAnsi="宋体" w:cs="宋体"/>
          <w:color w:val="auto"/>
          <w:sz w:val="24"/>
          <w:szCs w:val="24"/>
        </w:rPr>
        <w:t>评价方式：</w:t>
      </w:r>
      <w:r>
        <w:rPr>
          <w:rFonts w:hint="eastAsia" w:ascii="宋体" w:hAnsi="宋体" w:cs="宋体"/>
          <w:color w:val="auto"/>
          <w:sz w:val="24"/>
          <w:szCs w:val="24"/>
          <w:lang w:val="en-US" w:eastAsia="zh-CN"/>
        </w:rPr>
        <w:t>最低价</w:t>
      </w:r>
      <w:r>
        <w:rPr>
          <w:rFonts w:hint="eastAsia" w:ascii="宋体" w:hAnsi="宋体" w:cs="宋体"/>
          <w:color w:val="auto"/>
          <w:sz w:val="24"/>
          <w:szCs w:val="24"/>
        </w:rPr>
        <w:t>法</w:t>
      </w:r>
    </w:p>
    <w:p w14:paraId="397B9EA7">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报价方式：可二次报价</w:t>
      </w:r>
    </w:p>
    <w:p w14:paraId="14AFEB59">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采购需求：</w:t>
      </w:r>
    </w:p>
    <w:tbl>
      <w:tblPr>
        <w:tblStyle w:val="59"/>
        <w:tblW w:w="918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1078"/>
        <w:gridCol w:w="1345"/>
        <w:gridCol w:w="3194"/>
        <w:gridCol w:w="1096"/>
        <w:gridCol w:w="1391"/>
        <w:gridCol w:w="1076"/>
      </w:tblGrid>
      <w:tr w14:paraId="5B870B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83B9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包号</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1262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项目明细(报价序号)</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1599A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名称</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3B471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采购数量</w:t>
            </w:r>
          </w:p>
        </w:tc>
        <w:tc>
          <w:tcPr>
            <w:tcW w:w="13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B245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成交供应商/品牌(个）</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B02F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需求科室</w:t>
            </w:r>
          </w:p>
        </w:tc>
      </w:tr>
      <w:tr w14:paraId="14AC9A1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40DD9C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包一</w:t>
            </w: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94A3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9BD918">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MPN/CNL相关基因突变检测（JAK2/CALR/MPL/CSF3R）</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48331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按实结算</w:t>
            </w:r>
          </w:p>
        </w:tc>
        <w:tc>
          <w:tcPr>
            <w:tcW w:w="0" w:type="auto"/>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14:paraId="1931338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lang w:val="en-US" w:eastAsia="zh-CN"/>
              </w:rPr>
            </w:pPr>
            <w:r>
              <w:rPr>
                <w:rFonts w:hint="eastAsia" w:cs="Times New Roman"/>
                <w:i w:val="0"/>
                <w:iCs w:val="0"/>
                <w:color w:val="000000"/>
                <w:sz w:val="22"/>
                <w:szCs w:val="22"/>
                <w:u w:val="none"/>
                <w:lang w:val="en-US" w:eastAsia="zh-CN"/>
              </w:rPr>
              <w:t>1-2</w:t>
            </w:r>
          </w:p>
        </w:tc>
        <w:tc>
          <w:tcPr>
            <w:tcW w:w="1080"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257817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精准医学中心</w:t>
            </w:r>
          </w:p>
        </w:tc>
      </w:tr>
      <w:tr w14:paraId="60671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8D66D7">
            <w:pPr>
              <w:jc w:val="center"/>
              <w:rPr>
                <w:rFonts w:hint="default" w:ascii="Times New Roman" w:hAnsi="Times New Roman" w:eastAsia="宋体" w:cs="Times New Roman"/>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67928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7952B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髓系肿瘤相关基因突变检测</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CDD4B2">
            <w:pPr>
              <w:jc w:val="center"/>
              <w:rPr>
                <w:rFonts w:hint="default" w:ascii="Times New Roman" w:hAnsi="Times New Roman" w:eastAsia="宋体"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43E3436">
            <w:pPr>
              <w:jc w:val="center"/>
              <w:rPr>
                <w:rFonts w:hint="default" w:ascii="Times New Roman" w:hAnsi="Times New Roman" w:eastAsia="宋体" w:cs="Times New Roman"/>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E0672">
            <w:pPr>
              <w:jc w:val="center"/>
              <w:rPr>
                <w:rFonts w:hint="default" w:ascii="Times New Roman" w:hAnsi="Times New Roman" w:eastAsia="宋体" w:cs="Times New Roman"/>
                <w:i w:val="0"/>
                <w:iCs w:val="0"/>
                <w:color w:val="000000"/>
                <w:sz w:val="22"/>
                <w:szCs w:val="22"/>
                <w:u w:val="none"/>
              </w:rPr>
            </w:pPr>
          </w:p>
        </w:tc>
      </w:tr>
      <w:tr w14:paraId="46E20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E69FDB">
            <w:pPr>
              <w:jc w:val="center"/>
              <w:rPr>
                <w:rFonts w:hint="default" w:ascii="Times New Roman" w:hAnsi="Times New Roman" w:eastAsia="宋体" w:cs="Times New Roman"/>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453F3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3</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1CBE4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髓系肿瘤融合基因检测</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4524FD">
            <w:pPr>
              <w:jc w:val="center"/>
              <w:rPr>
                <w:rFonts w:hint="default" w:ascii="Times New Roman" w:hAnsi="Times New Roman" w:eastAsia="宋体"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BA51B8">
            <w:pPr>
              <w:jc w:val="center"/>
              <w:rPr>
                <w:rFonts w:hint="default" w:ascii="Times New Roman" w:hAnsi="Times New Roman" w:eastAsia="宋体" w:cs="Times New Roman"/>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E793AE">
            <w:pPr>
              <w:jc w:val="center"/>
              <w:rPr>
                <w:rFonts w:hint="default" w:ascii="Times New Roman" w:hAnsi="Times New Roman" w:eastAsia="宋体" w:cs="Times New Roman"/>
                <w:i w:val="0"/>
                <w:iCs w:val="0"/>
                <w:color w:val="000000"/>
                <w:sz w:val="22"/>
                <w:szCs w:val="22"/>
                <w:u w:val="none"/>
              </w:rPr>
            </w:pPr>
          </w:p>
        </w:tc>
      </w:tr>
      <w:tr w14:paraId="7A025C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43BE1C">
            <w:pPr>
              <w:jc w:val="center"/>
              <w:rPr>
                <w:rFonts w:hint="default" w:ascii="Times New Roman" w:hAnsi="Times New Roman" w:eastAsia="宋体" w:cs="Times New Roman"/>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CE69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4</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B5B76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HE融合基因定性检测</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1AC897">
            <w:pPr>
              <w:jc w:val="center"/>
              <w:rPr>
                <w:rFonts w:hint="default" w:ascii="Times New Roman" w:hAnsi="Times New Roman" w:eastAsia="宋体"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6632CD">
            <w:pPr>
              <w:jc w:val="center"/>
              <w:rPr>
                <w:rFonts w:hint="default" w:ascii="Times New Roman" w:hAnsi="Times New Roman" w:eastAsia="宋体" w:cs="Times New Roman"/>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FEA59B">
            <w:pPr>
              <w:jc w:val="center"/>
              <w:rPr>
                <w:rFonts w:hint="default" w:ascii="Times New Roman" w:hAnsi="Times New Roman" w:eastAsia="宋体" w:cs="Times New Roman"/>
                <w:i w:val="0"/>
                <w:iCs w:val="0"/>
                <w:color w:val="000000"/>
                <w:sz w:val="22"/>
                <w:szCs w:val="22"/>
                <w:u w:val="none"/>
              </w:rPr>
            </w:pPr>
          </w:p>
        </w:tc>
      </w:tr>
      <w:tr w14:paraId="3A12DC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369032D">
            <w:pPr>
              <w:jc w:val="center"/>
              <w:rPr>
                <w:rFonts w:hint="default" w:ascii="Times New Roman" w:hAnsi="Times New Roman" w:eastAsia="宋体" w:cs="Times New Roman"/>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4651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5</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7FACD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淋巴瘤相关基因突变检测</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954A1CC">
            <w:pPr>
              <w:jc w:val="center"/>
              <w:rPr>
                <w:rFonts w:hint="default" w:ascii="Times New Roman" w:hAnsi="Times New Roman" w:eastAsia="宋体"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A73B41">
            <w:pPr>
              <w:jc w:val="center"/>
              <w:rPr>
                <w:rFonts w:hint="default" w:ascii="Times New Roman" w:hAnsi="Times New Roman" w:eastAsia="宋体" w:cs="Times New Roman"/>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620F2A">
            <w:pPr>
              <w:jc w:val="center"/>
              <w:rPr>
                <w:rFonts w:hint="default" w:ascii="Times New Roman" w:hAnsi="Times New Roman" w:eastAsia="宋体" w:cs="Times New Roman"/>
                <w:i w:val="0"/>
                <w:iCs w:val="0"/>
                <w:color w:val="000000"/>
                <w:sz w:val="22"/>
                <w:szCs w:val="22"/>
                <w:u w:val="none"/>
              </w:rPr>
            </w:pPr>
          </w:p>
        </w:tc>
      </w:tr>
      <w:tr w14:paraId="70D6BE3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3ED2F7">
            <w:pPr>
              <w:jc w:val="center"/>
              <w:rPr>
                <w:rFonts w:hint="default" w:ascii="Times New Roman" w:hAnsi="Times New Roman" w:eastAsia="宋体" w:cs="Times New Roman"/>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00FD7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6</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34A9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ph-like ALL融合基因检测</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9DF2D5">
            <w:pPr>
              <w:jc w:val="center"/>
              <w:rPr>
                <w:rFonts w:hint="default" w:ascii="Times New Roman" w:hAnsi="Times New Roman" w:eastAsia="宋体"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081365">
            <w:pPr>
              <w:jc w:val="center"/>
              <w:rPr>
                <w:rFonts w:hint="default" w:ascii="Times New Roman" w:hAnsi="Times New Roman" w:eastAsia="宋体" w:cs="Times New Roman"/>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168EC3">
            <w:pPr>
              <w:jc w:val="center"/>
              <w:rPr>
                <w:rFonts w:hint="default" w:ascii="Times New Roman" w:hAnsi="Times New Roman" w:eastAsia="宋体" w:cs="Times New Roman"/>
                <w:i w:val="0"/>
                <w:iCs w:val="0"/>
                <w:color w:val="000000"/>
                <w:sz w:val="22"/>
                <w:szCs w:val="22"/>
                <w:u w:val="none"/>
              </w:rPr>
            </w:pPr>
          </w:p>
        </w:tc>
      </w:tr>
      <w:tr w14:paraId="370FCE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D6D286">
            <w:pPr>
              <w:jc w:val="center"/>
              <w:rPr>
                <w:rFonts w:hint="default" w:ascii="Times New Roman" w:hAnsi="Times New Roman" w:eastAsia="宋体" w:cs="Times New Roman"/>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2F09E">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7</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57FF3D">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淋系肿瘤融合基因谱筛查</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625A0B">
            <w:pPr>
              <w:jc w:val="center"/>
              <w:rPr>
                <w:rFonts w:hint="default" w:ascii="Times New Roman" w:hAnsi="Times New Roman" w:eastAsia="宋体"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CD182B">
            <w:pPr>
              <w:jc w:val="center"/>
              <w:rPr>
                <w:rFonts w:hint="default" w:ascii="Times New Roman" w:hAnsi="Times New Roman" w:eastAsia="宋体" w:cs="Times New Roman"/>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0288B7">
            <w:pPr>
              <w:jc w:val="center"/>
              <w:rPr>
                <w:rFonts w:hint="default" w:ascii="Times New Roman" w:hAnsi="Times New Roman" w:eastAsia="宋体" w:cs="Times New Roman"/>
                <w:i w:val="0"/>
                <w:iCs w:val="0"/>
                <w:color w:val="000000"/>
                <w:sz w:val="22"/>
                <w:szCs w:val="22"/>
                <w:u w:val="none"/>
              </w:rPr>
            </w:pPr>
          </w:p>
        </w:tc>
      </w:tr>
      <w:tr w14:paraId="0728D17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49335EB">
            <w:pPr>
              <w:jc w:val="center"/>
              <w:rPr>
                <w:rFonts w:hint="default" w:ascii="Times New Roman" w:hAnsi="Times New Roman" w:eastAsia="宋体" w:cs="Times New Roman"/>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84BD3">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8</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91C14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ALL常见融合基因检测</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7A3561">
            <w:pPr>
              <w:jc w:val="center"/>
              <w:rPr>
                <w:rFonts w:hint="default" w:ascii="Times New Roman" w:hAnsi="Times New Roman" w:eastAsia="宋体"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731435E">
            <w:pPr>
              <w:jc w:val="center"/>
              <w:rPr>
                <w:rFonts w:hint="default" w:ascii="Times New Roman" w:hAnsi="Times New Roman" w:eastAsia="宋体" w:cs="Times New Roman"/>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CFAFC2A">
            <w:pPr>
              <w:jc w:val="center"/>
              <w:rPr>
                <w:rFonts w:hint="default" w:ascii="Times New Roman" w:hAnsi="Times New Roman" w:eastAsia="宋体" w:cs="Times New Roman"/>
                <w:i w:val="0"/>
                <w:iCs w:val="0"/>
                <w:color w:val="000000"/>
                <w:sz w:val="22"/>
                <w:szCs w:val="22"/>
                <w:u w:val="none"/>
              </w:rPr>
            </w:pPr>
          </w:p>
        </w:tc>
      </w:tr>
      <w:tr w14:paraId="16A8D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53B8156">
            <w:pPr>
              <w:jc w:val="center"/>
              <w:rPr>
                <w:rFonts w:hint="default" w:ascii="Times New Roman" w:hAnsi="Times New Roman" w:eastAsia="宋体" w:cs="Times New Roman"/>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ECC2C4">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9</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0E06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Ig重排(IGH/IGK/IGL)</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6B791E">
            <w:pPr>
              <w:jc w:val="center"/>
              <w:rPr>
                <w:rFonts w:hint="default" w:ascii="Times New Roman" w:hAnsi="Times New Roman" w:eastAsia="宋体"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0151AB">
            <w:pPr>
              <w:jc w:val="center"/>
              <w:rPr>
                <w:rFonts w:hint="default" w:ascii="Times New Roman" w:hAnsi="Times New Roman" w:eastAsia="宋体" w:cs="Times New Roman"/>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14BF7A">
            <w:pPr>
              <w:jc w:val="center"/>
              <w:rPr>
                <w:rFonts w:hint="default" w:ascii="Times New Roman" w:hAnsi="Times New Roman" w:eastAsia="宋体" w:cs="Times New Roman"/>
                <w:i w:val="0"/>
                <w:iCs w:val="0"/>
                <w:color w:val="000000"/>
                <w:sz w:val="22"/>
                <w:szCs w:val="22"/>
                <w:u w:val="none"/>
              </w:rPr>
            </w:pPr>
          </w:p>
        </w:tc>
      </w:tr>
      <w:tr w14:paraId="35F781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8309A7">
            <w:pPr>
              <w:jc w:val="center"/>
              <w:rPr>
                <w:rFonts w:hint="default" w:ascii="Times New Roman" w:hAnsi="Times New Roman" w:eastAsia="宋体" w:cs="Times New Roman"/>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24B4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10</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F4B5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TCR重排(TCRB/TCRG/TCRD)</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A62630">
            <w:pPr>
              <w:jc w:val="center"/>
              <w:rPr>
                <w:rFonts w:hint="default" w:ascii="Times New Roman" w:hAnsi="Times New Roman" w:eastAsia="宋体"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004F1">
            <w:pPr>
              <w:jc w:val="center"/>
              <w:rPr>
                <w:rFonts w:hint="default" w:ascii="Times New Roman" w:hAnsi="Times New Roman" w:eastAsia="宋体" w:cs="Times New Roman"/>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B12431">
            <w:pPr>
              <w:jc w:val="center"/>
              <w:rPr>
                <w:rFonts w:hint="default" w:ascii="Times New Roman" w:hAnsi="Times New Roman" w:eastAsia="宋体" w:cs="Times New Roman"/>
                <w:i w:val="0"/>
                <w:iCs w:val="0"/>
                <w:color w:val="000000"/>
                <w:sz w:val="22"/>
                <w:szCs w:val="22"/>
                <w:u w:val="none"/>
              </w:rPr>
            </w:pPr>
          </w:p>
        </w:tc>
      </w:tr>
      <w:tr w14:paraId="16B671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FDA799">
            <w:pPr>
              <w:jc w:val="center"/>
              <w:rPr>
                <w:rFonts w:hint="default" w:ascii="Times New Roman" w:hAnsi="Times New Roman" w:eastAsia="宋体" w:cs="Times New Roman"/>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52962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11</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8BF49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血液肿瘤相关基因突变检测</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EDB2322">
            <w:pPr>
              <w:jc w:val="center"/>
              <w:rPr>
                <w:rFonts w:hint="default" w:ascii="Times New Roman" w:hAnsi="Times New Roman" w:eastAsia="宋体"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C9CD523">
            <w:pPr>
              <w:jc w:val="center"/>
              <w:rPr>
                <w:rFonts w:hint="default" w:ascii="Times New Roman" w:hAnsi="Times New Roman" w:eastAsia="宋体" w:cs="Times New Roman"/>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EB1DA34">
            <w:pPr>
              <w:jc w:val="center"/>
              <w:rPr>
                <w:rFonts w:hint="default" w:ascii="Times New Roman" w:hAnsi="Times New Roman" w:eastAsia="宋体" w:cs="Times New Roman"/>
                <w:i w:val="0"/>
                <w:iCs w:val="0"/>
                <w:color w:val="000000"/>
                <w:sz w:val="22"/>
                <w:szCs w:val="22"/>
                <w:u w:val="none"/>
              </w:rPr>
            </w:pPr>
          </w:p>
        </w:tc>
      </w:tr>
      <w:tr w14:paraId="4C0C21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8797A4">
            <w:pPr>
              <w:jc w:val="center"/>
              <w:rPr>
                <w:rFonts w:hint="default" w:ascii="Times New Roman" w:hAnsi="Times New Roman" w:eastAsia="宋体" w:cs="Times New Roman"/>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EF57D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12</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280E2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血液肿瘤全转录组测序（RNA-seq）</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5E492">
            <w:pPr>
              <w:jc w:val="center"/>
              <w:rPr>
                <w:rFonts w:hint="default" w:ascii="Times New Roman" w:hAnsi="Times New Roman" w:eastAsia="宋体"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B9117">
            <w:pPr>
              <w:jc w:val="center"/>
              <w:rPr>
                <w:rFonts w:hint="default" w:ascii="Times New Roman" w:hAnsi="Times New Roman" w:eastAsia="宋体" w:cs="Times New Roman"/>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6DF4EC2">
            <w:pPr>
              <w:jc w:val="center"/>
              <w:rPr>
                <w:rFonts w:hint="default" w:ascii="Times New Roman" w:hAnsi="Times New Roman" w:eastAsia="宋体" w:cs="Times New Roman"/>
                <w:i w:val="0"/>
                <w:iCs w:val="0"/>
                <w:color w:val="000000"/>
                <w:sz w:val="22"/>
                <w:szCs w:val="22"/>
                <w:u w:val="none"/>
              </w:rPr>
            </w:pPr>
          </w:p>
        </w:tc>
      </w:tr>
      <w:tr w14:paraId="2B774F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32C24F">
            <w:pPr>
              <w:jc w:val="center"/>
              <w:rPr>
                <w:rFonts w:hint="default" w:ascii="Times New Roman" w:hAnsi="Times New Roman" w:eastAsia="宋体" w:cs="Times New Roman"/>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BE4BF">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13</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5756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血液肿瘤全外显子组测序</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52C04A">
            <w:pPr>
              <w:jc w:val="center"/>
              <w:rPr>
                <w:rFonts w:hint="default" w:ascii="Times New Roman" w:hAnsi="Times New Roman" w:eastAsia="宋体"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2A936F">
            <w:pPr>
              <w:jc w:val="center"/>
              <w:rPr>
                <w:rFonts w:hint="default" w:ascii="Times New Roman" w:hAnsi="Times New Roman" w:eastAsia="宋体" w:cs="Times New Roman"/>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1CB789">
            <w:pPr>
              <w:jc w:val="center"/>
              <w:rPr>
                <w:rFonts w:hint="default" w:ascii="Times New Roman" w:hAnsi="Times New Roman" w:eastAsia="宋体" w:cs="Times New Roman"/>
                <w:i w:val="0"/>
                <w:iCs w:val="0"/>
                <w:color w:val="000000"/>
                <w:sz w:val="22"/>
                <w:szCs w:val="22"/>
                <w:u w:val="none"/>
              </w:rPr>
            </w:pPr>
          </w:p>
        </w:tc>
      </w:tr>
      <w:tr w14:paraId="5D8CD5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84DB7EA">
            <w:pPr>
              <w:jc w:val="center"/>
              <w:rPr>
                <w:rFonts w:hint="default" w:ascii="Times New Roman" w:hAnsi="Times New Roman" w:eastAsia="宋体" w:cs="Times New Roman"/>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834BF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14</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907F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噬血细胞综合征（HLH）相关基因突变检测</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04361A">
            <w:pPr>
              <w:jc w:val="center"/>
              <w:rPr>
                <w:rFonts w:hint="default" w:ascii="Times New Roman" w:hAnsi="Times New Roman" w:eastAsia="宋体"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F9CE83">
            <w:pPr>
              <w:jc w:val="center"/>
              <w:rPr>
                <w:rFonts w:hint="default" w:ascii="Times New Roman" w:hAnsi="Times New Roman" w:eastAsia="宋体" w:cs="Times New Roman"/>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CC9364A">
            <w:pPr>
              <w:jc w:val="center"/>
              <w:rPr>
                <w:rFonts w:hint="default" w:ascii="Times New Roman" w:hAnsi="Times New Roman" w:eastAsia="宋体" w:cs="Times New Roman"/>
                <w:i w:val="0"/>
                <w:iCs w:val="0"/>
                <w:color w:val="000000"/>
                <w:sz w:val="22"/>
                <w:szCs w:val="22"/>
                <w:u w:val="none"/>
              </w:rPr>
            </w:pPr>
          </w:p>
        </w:tc>
      </w:tr>
      <w:tr w14:paraId="206AD5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182416D">
            <w:pPr>
              <w:jc w:val="center"/>
              <w:rPr>
                <w:rFonts w:hint="default" w:ascii="Times New Roman" w:hAnsi="Times New Roman" w:eastAsia="宋体" w:cs="Times New Roman"/>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B853F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15</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FE4C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HLA基因分型（SBT法）</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CBAE4CC">
            <w:pPr>
              <w:jc w:val="center"/>
              <w:rPr>
                <w:rFonts w:hint="default" w:ascii="Times New Roman" w:hAnsi="Times New Roman" w:eastAsia="宋体"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C3F866">
            <w:pPr>
              <w:jc w:val="center"/>
              <w:rPr>
                <w:rFonts w:hint="default" w:ascii="Times New Roman" w:hAnsi="Times New Roman" w:eastAsia="宋体" w:cs="Times New Roman"/>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446432">
            <w:pPr>
              <w:jc w:val="center"/>
              <w:rPr>
                <w:rFonts w:hint="default" w:ascii="Times New Roman" w:hAnsi="Times New Roman" w:eastAsia="宋体" w:cs="Times New Roman"/>
                <w:i w:val="0"/>
                <w:iCs w:val="0"/>
                <w:color w:val="000000"/>
                <w:sz w:val="22"/>
                <w:szCs w:val="22"/>
                <w:u w:val="none"/>
              </w:rPr>
            </w:pPr>
          </w:p>
        </w:tc>
      </w:tr>
      <w:tr w14:paraId="68298D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B51592">
            <w:pPr>
              <w:jc w:val="center"/>
              <w:rPr>
                <w:rFonts w:hint="default" w:ascii="Times New Roman" w:hAnsi="Times New Roman" w:eastAsia="宋体" w:cs="Times New Roman"/>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BFC4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16</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5A84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全血TCA检测（PCR-STR法）</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E97BA4">
            <w:pPr>
              <w:jc w:val="center"/>
              <w:rPr>
                <w:rFonts w:hint="default" w:ascii="Times New Roman" w:hAnsi="Times New Roman" w:eastAsia="宋体"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515F2A">
            <w:pPr>
              <w:jc w:val="center"/>
              <w:rPr>
                <w:rFonts w:hint="default" w:ascii="Times New Roman" w:hAnsi="Times New Roman" w:eastAsia="宋体" w:cs="Times New Roman"/>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AE7617">
            <w:pPr>
              <w:jc w:val="center"/>
              <w:rPr>
                <w:rFonts w:hint="default" w:ascii="Times New Roman" w:hAnsi="Times New Roman" w:eastAsia="宋体" w:cs="Times New Roman"/>
                <w:i w:val="0"/>
                <w:iCs w:val="0"/>
                <w:color w:val="000000"/>
                <w:sz w:val="22"/>
                <w:szCs w:val="22"/>
                <w:u w:val="none"/>
              </w:rPr>
            </w:pPr>
          </w:p>
        </w:tc>
      </w:tr>
      <w:tr w14:paraId="7D6DF7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0D61D5">
            <w:pPr>
              <w:jc w:val="center"/>
              <w:rPr>
                <w:rFonts w:hint="default" w:ascii="Times New Roman" w:hAnsi="Times New Roman" w:eastAsia="宋体" w:cs="Times New Roman"/>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B289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17</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A6D7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全血TCA检测（数字PCR法）</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414C4F">
            <w:pPr>
              <w:jc w:val="center"/>
              <w:rPr>
                <w:rFonts w:hint="default" w:ascii="Times New Roman" w:hAnsi="Times New Roman" w:eastAsia="宋体"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7C587143">
            <w:pPr>
              <w:jc w:val="center"/>
              <w:rPr>
                <w:rFonts w:hint="default" w:ascii="Times New Roman" w:hAnsi="Times New Roman" w:eastAsia="宋体" w:cs="Times New Roman"/>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61EC17">
            <w:pPr>
              <w:jc w:val="center"/>
              <w:rPr>
                <w:rFonts w:hint="default" w:ascii="Times New Roman" w:hAnsi="Times New Roman" w:eastAsia="宋体" w:cs="Times New Roman"/>
                <w:i w:val="0"/>
                <w:iCs w:val="0"/>
                <w:color w:val="000000"/>
                <w:sz w:val="22"/>
                <w:szCs w:val="22"/>
                <w:u w:val="none"/>
              </w:rPr>
            </w:pPr>
          </w:p>
        </w:tc>
      </w:tr>
      <w:tr w14:paraId="0DC8D7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013DC06">
            <w:pPr>
              <w:jc w:val="center"/>
              <w:rPr>
                <w:rFonts w:hint="default" w:ascii="Times New Roman" w:hAnsi="Times New Roman" w:eastAsia="宋体" w:cs="Times New Roman"/>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B99FB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18</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6331D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STR嵌合率检测</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2D9FC84">
            <w:pPr>
              <w:jc w:val="center"/>
              <w:rPr>
                <w:rFonts w:hint="default" w:ascii="Times New Roman" w:hAnsi="Times New Roman" w:eastAsia="宋体"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F00768">
            <w:pPr>
              <w:jc w:val="center"/>
              <w:rPr>
                <w:rFonts w:hint="default" w:ascii="Times New Roman" w:hAnsi="Times New Roman" w:eastAsia="宋体" w:cs="Times New Roman"/>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F14B99E">
            <w:pPr>
              <w:jc w:val="center"/>
              <w:rPr>
                <w:rFonts w:hint="default" w:ascii="Times New Roman" w:hAnsi="Times New Roman" w:eastAsia="宋体" w:cs="Times New Roman"/>
                <w:i w:val="0"/>
                <w:iCs w:val="0"/>
                <w:color w:val="000000"/>
                <w:sz w:val="22"/>
                <w:szCs w:val="22"/>
                <w:u w:val="none"/>
              </w:rPr>
            </w:pPr>
          </w:p>
        </w:tc>
      </w:tr>
      <w:tr w14:paraId="4AB197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D314EE">
            <w:pPr>
              <w:jc w:val="center"/>
              <w:rPr>
                <w:rFonts w:hint="default" w:ascii="Times New Roman" w:hAnsi="Times New Roman" w:eastAsia="宋体" w:cs="Times New Roman"/>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DAE8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19</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8EC04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供者来源游离DNA检测</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2DE13A">
            <w:pPr>
              <w:jc w:val="center"/>
              <w:rPr>
                <w:rFonts w:hint="default" w:ascii="Times New Roman" w:hAnsi="Times New Roman" w:eastAsia="宋体"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505B9F">
            <w:pPr>
              <w:jc w:val="center"/>
              <w:rPr>
                <w:rFonts w:hint="default" w:ascii="Times New Roman" w:hAnsi="Times New Roman" w:eastAsia="宋体" w:cs="Times New Roman"/>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05BB3A">
            <w:pPr>
              <w:jc w:val="center"/>
              <w:rPr>
                <w:rFonts w:hint="default" w:ascii="Times New Roman" w:hAnsi="Times New Roman" w:eastAsia="宋体" w:cs="Times New Roman"/>
                <w:i w:val="0"/>
                <w:iCs w:val="0"/>
                <w:color w:val="000000"/>
                <w:sz w:val="22"/>
                <w:szCs w:val="22"/>
                <w:u w:val="none"/>
              </w:rPr>
            </w:pPr>
          </w:p>
        </w:tc>
      </w:tr>
      <w:tr w14:paraId="50E5D1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756A1D">
            <w:pPr>
              <w:jc w:val="center"/>
              <w:rPr>
                <w:rFonts w:hint="default" w:ascii="Times New Roman" w:hAnsi="Times New Roman" w:eastAsia="宋体" w:cs="Times New Roman"/>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4299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20</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C538F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HLA-I 类特异性抗体检测</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4B056E">
            <w:pPr>
              <w:jc w:val="center"/>
              <w:rPr>
                <w:rFonts w:hint="default" w:ascii="Times New Roman" w:hAnsi="Times New Roman" w:eastAsia="宋体"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91BCB0">
            <w:pPr>
              <w:jc w:val="center"/>
              <w:rPr>
                <w:rFonts w:hint="default" w:ascii="Times New Roman" w:hAnsi="Times New Roman" w:eastAsia="宋体" w:cs="Times New Roman"/>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413C05">
            <w:pPr>
              <w:jc w:val="center"/>
              <w:rPr>
                <w:rFonts w:hint="default" w:ascii="Times New Roman" w:hAnsi="Times New Roman" w:eastAsia="宋体" w:cs="Times New Roman"/>
                <w:i w:val="0"/>
                <w:iCs w:val="0"/>
                <w:color w:val="000000"/>
                <w:sz w:val="22"/>
                <w:szCs w:val="22"/>
                <w:u w:val="none"/>
              </w:rPr>
            </w:pPr>
          </w:p>
        </w:tc>
      </w:tr>
      <w:tr w14:paraId="6EB440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CF7ED">
            <w:pPr>
              <w:jc w:val="center"/>
              <w:rPr>
                <w:rFonts w:hint="default" w:ascii="Times New Roman" w:hAnsi="Times New Roman" w:eastAsia="宋体" w:cs="Times New Roman"/>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439D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21</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380525">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HLA-II类特异性抗体检测</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6E364DA">
            <w:pPr>
              <w:jc w:val="center"/>
              <w:rPr>
                <w:rFonts w:hint="default" w:ascii="Times New Roman" w:hAnsi="Times New Roman" w:eastAsia="宋体"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557B80">
            <w:pPr>
              <w:jc w:val="center"/>
              <w:rPr>
                <w:rFonts w:hint="default" w:ascii="Times New Roman" w:hAnsi="Times New Roman" w:eastAsia="宋体" w:cs="Times New Roman"/>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1864440">
            <w:pPr>
              <w:jc w:val="center"/>
              <w:rPr>
                <w:rFonts w:hint="default" w:ascii="Times New Roman" w:hAnsi="Times New Roman" w:eastAsia="宋体" w:cs="Times New Roman"/>
                <w:i w:val="0"/>
                <w:iCs w:val="0"/>
                <w:color w:val="000000"/>
                <w:sz w:val="22"/>
                <w:szCs w:val="22"/>
                <w:u w:val="none"/>
              </w:rPr>
            </w:pPr>
          </w:p>
        </w:tc>
      </w:tr>
      <w:tr w14:paraId="48548B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D25408E">
            <w:pPr>
              <w:jc w:val="center"/>
              <w:rPr>
                <w:rFonts w:hint="default" w:ascii="Times New Roman" w:hAnsi="Times New Roman" w:eastAsia="宋体" w:cs="Times New Roman"/>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F5A10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22</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B7AE2">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HLA抗体筛查</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AA834F">
            <w:pPr>
              <w:jc w:val="center"/>
              <w:rPr>
                <w:rFonts w:hint="default" w:ascii="Times New Roman" w:hAnsi="Times New Roman" w:eastAsia="宋体"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7BCC5">
            <w:pPr>
              <w:jc w:val="center"/>
              <w:rPr>
                <w:rFonts w:hint="default" w:ascii="Times New Roman" w:hAnsi="Times New Roman" w:eastAsia="宋体" w:cs="Times New Roman"/>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8D2859">
            <w:pPr>
              <w:jc w:val="center"/>
              <w:rPr>
                <w:rFonts w:hint="default" w:ascii="Times New Roman" w:hAnsi="Times New Roman" w:eastAsia="宋体" w:cs="Times New Roman"/>
                <w:i w:val="0"/>
                <w:iCs w:val="0"/>
                <w:color w:val="000000"/>
                <w:sz w:val="22"/>
                <w:szCs w:val="22"/>
                <w:u w:val="none"/>
              </w:rPr>
            </w:pPr>
          </w:p>
        </w:tc>
      </w:tr>
      <w:tr w14:paraId="7F646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B9CAF6A">
            <w:pPr>
              <w:jc w:val="center"/>
              <w:rPr>
                <w:rFonts w:hint="default" w:ascii="Times New Roman" w:hAnsi="Times New Roman" w:eastAsia="宋体" w:cs="Times New Roman"/>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CA92B0">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23</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4DC0F6">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MRD检测</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55A8CA">
            <w:pPr>
              <w:jc w:val="center"/>
              <w:rPr>
                <w:rFonts w:hint="default" w:ascii="Times New Roman" w:hAnsi="Times New Roman" w:eastAsia="宋体"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A14BF32">
            <w:pPr>
              <w:jc w:val="center"/>
              <w:rPr>
                <w:rFonts w:hint="default" w:ascii="Times New Roman" w:hAnsi="Times New Roman" w:eastAsia="宋体" w:cs="Times New Roman"/>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3D450B1">
            <w:pPr>
              <w:jc w:val="center"/>
              <w:rPr>
                <w:rFonts w:hint="default" w:ascii="Times New Roman" w:hAnsi="Times New Roman" w:eastAsia="宋体" w:cs="Times New Roman"/>
                <w:i w:val="0"/>
                <w:iCs w:val="0"/>
                <w:color w:val="000000"/>
                <w:sz w:val="22"/>
                <w:szCs w:val="22"/>
                <w:u w:val="none"/>
              </w:rPr>
            </w:pPr>
          </w:p>
        </w:tc>
      </w:tr>
      <w:tr w14:paraId="2C37277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A15451">
            <w:pPr>
              <w:jc w:val="center"/>
              <w:rPr>
                <w:rFonts w:hint="default" w:ascii="Times New Roman" w:hAnsi="Times New Roman" w:eastAsia="宋体" w:cs="Times New Roman"/>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88F61">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24</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E0E6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免疫组库RNA检测（BCR）</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56A71F3">
            <w:pPr>
              <w:jc w:val="center"/>
              <w:rPr>
                <w:rFonts w:hint="default" w:ascii="Times New Roman" w:hAnsi="Times New Roman" w:eastAsia="宋体"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2280530">
            <w:pPr>
              <w:jc w:val="center"/>
              <w:rPr>
                <w:rFonts w:hint="default" w:ascii="Times New Roman" w:hAnsi="Times New Roman" w:eastAsia="宋体" w:cs="Times New Roman"/>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FCC7868">
            <w:pPr>
              <w:jc w:val="center"/>
              <w:rPr>
                <w:rFonts w:hint="default" w:ascii="Times New Roman" w:hAnsi="Times New Roman" w:eastAsia="宋体" w:cs="Times New Roman"/>
                <w:i w:val="0"/>
                <w:iCs w:val="0"/>
                <w:color w:val="000000"/>
                <w:sz w:val="22"/>
                <w:szCs w:val="22"/>
                <w:u w:val="none"/>
              </w:rPr>
            </w:pPr>
          </w:p>
        </w:tc>
      </w:tr>
      <w:tr w14:paraId="1ED4758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0F9D72">
            <w:pPr>
              <w:jc w:val="center"/>
              <w:rPr>
                <w:rFonts w:hint="default" w:ascii="Times New Roman" w:hAnsi="Times New Roman" w:eastAsia="宋体" w:cs="Times New Roman"/>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602AB">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25</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61867">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免疫组库RNA检测（TCR）</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884CD7">
            <w:pPr>
              <w:jc w:val="center"/>
              <w:rPr>
                <w:rFonts w:hint="default" w:ascii="Times New Roman" w:hAnsi="Times New Roman" w:eastAsia="宋体"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3BB8D7">
            <w:pPr>
              <w:jc w:val="center"/>
              <w:rPr>
                <w:rFonts w:hint="default" w:ascii="Times New Roman" w:hAnsi="Times New Roman" w:eastAsia="宋体" w:cs="Times New Roman"/>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02822F">
            <w:pPr>
              <w:jc w:val="center"/>
              <w:rPr>
                <w:rFonts w:hint="default" w:ascii="Times New Roman" w:hAnsi="Times New Roman" w:eastAsia="宋体" w:cs="Times New Roman"/>
                <w:i w:val="0"/>
                <w:iCs w:val="0"/>
                <w:color w:val="000000"/>
                <w:sz w:val="22"/>
                <w:szCs w:val="22"/>
                <w:u w:val="none"/>
              </w:rPr>
            </w:pPr>
          </w:p>
        </w:tc>
      </w:tr>
      <w:tr w14:paraId="310262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2CA288">
            <w:pPr>
              <w:jc w:val="center"/>
              <w:rPr>
                <w:rFonts w:hint="default" w:ascii="Times New Roman" w:hAnsi="Times New Roman" w:eastAsia="宋体" w:cs="Times New Roman"/>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0F6D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26</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A95839">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单项-基因突变定量（数字PCR）</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064D50">
            <w:pPr>
              <w:jc w:val="center"/>
              <w:rPr>
                <w:rFonts w:hint="default" w:ascii="Times New Roman" w:hAnsi="Times New Roman" w:eastAsia="宋体"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14EEE9">
            <w:pPr>
              <w:jc w:val="center"/>
              <w:rPr>
                <w:rFonts w:hint="default" w:ascii="Times New Roman" w:hAnsi="Times New Roman" w:eastAsia="宋体" w:cs="Times New Roman"/>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0711373">
            <w:pPr>
              <w:jc w:val="center"/>
              <w:rPr>
                <w:rFonts w:hint="default" w:ascii="Times New Roman" w:hAnsi="Times New Roman" w:eastAsia="宋体" w:cs="Times New Roman"/>
                <w:i w:val="0"/>
                <w:iCs w:val="0"/>
                <w:color w:val="000000"/>
                <w:sz w:val="22"/>
                <w:szCs w:val="22"/>
                <w:u w:val="none"/>
              </w:rPr>
            </w:pPr>
          </w:p>
        </w:tc>
      </w:tr>
      <w:tr w14:paraId="2647E0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56364E">
            <w:pPr>
              <w:jc w:val="center"/>
              <w:rPr>
                <w:rFonts w:hint="default" w:ascii="Times New Roman" w:hAnsi="Times New Roman" w:eastAsia="宋体" w:cs="Times New Roman"/>
                <w:i w:val="0"/>
                <w:iCs w:val="0"/>
                <w:color w:val="000000"/>
                <w:sz w:val="22"/>
                <w:szCs w:val="22"/>
                <w:u w:val="none"/>
              </w:rPr>
            </w:pPr>
          </w:p>
        </w:tc>
        <w:tc>
          <w:tcPr>
            <w:tcW w:w="135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CADA4C">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27</w:t>
            </w:r>
          </w:p>
        </w:tc>
        <w:tc>
          <w:tcPr>
            <w:tcW w:w="3195"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BD524A">
            <w:pPr>
              <w:keepNext w:val="0"/>
              <w:keepLines w:val="0"/>
              <w:widowControl/>
              <w:suppressLineNumbers w:val="0"/>
              <w:jc w:val="center"/>
              <w:textAlignment w:val="center"/>
              <w:rPr>
                <w:rFonts w:hint="default" w:ascii="Times New Roman" w:hAnsi="Times New Roman" w:eastAsia="宋体" w:cs="Times New Roman"/>
                <w:i w:val="0"/>
                <w:iCs w:val="0"/>
                <w:color w:val="000000"/>
                <w:sz w:val="22"/>
                <w:szCs w:val="22"/>
                <w:u w:val="none"/>
              </w:rPr>
            </w:pPr>
            <w:r>
              <w:rPr>
                <w:rFonts w:hint="default" w:ascii="Times New Roman" w:hAnsi="Times New Roman" w:eastAsia="宋体" w:cs="Times New Roman"/>
                <w:i w:val="0"/>
                <w:iCs w:val="0"/>
                <w:color w:val="000000"/>
                <w:kern w:val="0"/>
                <w:sz w:val="22"/>
                <w:szCs w:val="22"/>
                <w:u w:val="none"/>
                <w:lang w:val="en-US" w:eastAsia="zh-CN" w:bidi="ar"/>
              </w:rPr>
              <w:t>单项-融合基因定量(荧光PCR/数字PCR)</w:t>
            </w: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99EF1C">
            <w:pPr>
              <w:jc w:val="center"/>
              <w:rPr>
                <w:rFonts w:hint="default" w:ascii="Times New Roman" w:hAnsi="Times New Roman" w:eastAsia="宋体" w:cs="Times New Roman"/>
                <w:i w:val="0"/>
                <w:iCs w:val="0"/>
                <w:color w:val="000000"/>
                <w:sz w:val="22"/>
                <w:szCs w:val="22"/>
                <w:u w:val="none"/>
              </w:rPr>
            </w:pPr>
          </w:p>
        </w:tc>
        <w:tc>
          <w:tcPr>
            <w:tcW w:w="0" w:type="auto"/>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14:paraId="339DADE3">
            <w:pPr>
              <w:jc w:val="center"/>
              <w:rPr>
                <w:rFonts w:hint="default" w:ascii="Times New Roman" w:hAnsi="Times New Roman" w:eastAsia="宋体" w:cs="Times New Roman"/>
                <w:i w:val="0"/>
                <w:iCs w:val="0"/>
                <w:color w:val="000000"/>
                <w:sz w:val="22"/>
                <w:szCs w:val="22"/>
                <w:u w:val="none"/>
              </w:rPr>
            </w:pPr>
          </w:p>
        </w:tc>
        <w:tc>
          <w:tcPr>
            <w:tcW w:w="1080"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132E6F2">
            <w:pPr>
              <w:jc w:val="center"/>
              <w:rPr>
                <w:rFonts w:hint="default" w:ascii="Times New Roman" w:hAnsi="Times New Roman" w:eastAsia="宋体" w:cs="Times New Roman"/>
                <w:i w:val="0"/>
                <w:iCs w:val="0"/>
                <w:color w:val="000000"/>
                <w:sz w:val="22"/>
                <w:szCs w:val="22"/>
                <w:u w:val="none"/>
              </w:rPr>
            </w:pPr>
          </w:p>
        </w:tc>
      </w:tr>
    </w:tbl>
    <w:p w14:paraId="037EEC2F">
      <w:pPr>
        <w:widowControl/>
        <w:spacing w:line="400" w:lineRule="exact"/>
        <w:ind w:firstLine="480" w:firstLineChars="200"/>
        <w:rPr>
          <w:rFonts w:hint="eastAsia" w:ascii="宋体" w:hAnsi="宋体" w:cs="宋体"/>
          <w:color w:val="auto"/>
          <w:sz w:val="24"/>
          <w:szCs w:val="24"/>
        </w:rPr>
      </w:pPr>
    </w:p>
    <w:p w14:paraId="5F8E83AD">
      <w:pPr>
        <w:widowControl/>
        <w:spacing w:before="120" w:beforeLines="50"/>
        <w:ind w:firstLine="480" w:firstLineChars="200"/>
        <w:rPr>
          <w:rFonts w:hint="eastAsia" w:ascii="宋体" w:hAnsi="宋体" w:cs="宋体"/>
          <w:color w:val="auto"/>
          <w:sz w:val="24"/>
          <w:szCs w:val="24"/>
        </w:rPr>
      </w:pPr>
      <w:bookmarkStart w:id="14" w:name="_Toc22707"/>
      <w:bookmarkStart w:id="15" w:name="_Toc22129"/>
      <w:bookmarkStart w:id="16" w:name="_Toc5838"/>
      <w:bookmarkStart w:id="17" w:name="_Toc18060"/>
      <w:bookmarkStart w:id="18" w:name="_Toc76373865"/>
      <w:r>
        <w:rPr>
          <w:rFonts w:hint="eastAsia" w:ascii="宋体" w:hAnsi="宋体" w:cs="宋体"/>
          <w:color w:val="auto"/>
          <w:sz w:val="24"/>
          <w:szCs w:val="24"/>
        </w:rPr>
        <w:t>注：</w:t>
      </w:r>
    </w:p>
    <w:p w14:paraId="2338C06D">
      <w:pPr>
        <w:widowControl/>
        <w:spacing w:before="120" w:beforeLines="50"/>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采购项目的技术参数详见采购文件第二部分。</w:t>
      </w:r>
    </w:p>
    <w:p w14:paraId="7ED0E3B4">
      <w:pPr>
        <w:widowControl/>
        <w:spacing w:line="400" w:lineRule="exact"/>
        <w:ind w:firstLine="480" w:firstLineChars="200"/>
        <w:rPr>
          <w:rFonts w:hint="default" w:ascii="宋体" w:hAnsi="宋体" w:cs="宋体"/>
          <w:color w:val="auto"/>
          <w:sz w:val="24"/>
          <w:szCs w:val="24"/>
          <w:lang w:val="en-US"/>
        </w:rPr>
      </w:pPr>
      <w:r>
        <w:rPr>
          <w:rFonts w:hint="eastAsia" w:ascii="宋体" w:hAnsi="宋体" w:cs="宋体"/>
          <w:color w:val="auto"/>
          <w:sz w:val="24"/>
          <w:szCs w:val="24"/>
          <w:lang w:val="en-US" w:eastAsia="zh-CN"/>
        </w:rPr>
        <w:t>2</w:t>
      </w:r>
      <w:r>
        <w:rPr>
          <w:rFonts w:hint="eastAsia" w:ascii="宋体" w:hAnsi="宋体" w:cs="宋体"/>
          <w:color w:val="auto"/>
          <w:sz w:val="24"/>
          <w:szCs w:val="24"/>
        </w:rPr>
        <w:t>.合同履行期限：</w:t>
      </w:r>
      <w:r>
        <w:rPr>
          <w:rFonts w:hint="eastAsia" w:ascii="宋体" w:hAnsi="宋体" w:cs="宋体"/>
          <w:color w:val="auto"/>
          <w:sz w:val="24"/>
          <w:szCs w:val="24"/>
          <w:lang w:val="en-US" w:eastAsia="zh-CN"/>
        </w:rPr>
        <w:t>三年</w:t>
      </w:r>
    </w:p>
    <w:p w14:paraId="686CB86A">
      <w:pPr>
        <w:pStyle w:val="22"/>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.本项目是/否接受联合竞选：否</w:t>
      </w:r>
    </w:p>
    <w:p w14:paraId="05362E44">
      <w:pPr>
        <w:pStyle w:val="22"/>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4.本项目为耗材院内合同重新采购</w:t>
      </w:r>
    </w:p>
    <w:p w14:paraId="169A4D6D">
      <w:pPr>
        <w:pStyle w:val="22"/>
        <w:ind w:firstLine="480" w:firstLineChars="200"/>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5.本项目仅支持采购</w:t>
      </w:r>
      <w:r>
        <w:rPr>
          <w:rFonts w:hint="eastAsia" w:ascii="宋体" w:hAnsi="宋体" w:eastAsia="宋体" w:cs="宋体"/>
          <w:i w:val="0"/>
          <w:color w:val="auto"/>
          <w:kern w:val="2"/>
          <w:sz w:val="24"/>
          <w:szCs w:val="24"/>
          <w:lang w:val="en-US" w:eastAsia="zh-CN" w:bidi="ar-SA"/>
        </w:rPr>
        <w:t>重庆药品和医用耗材招采管理系统挂网产品。</w:t>
      </w:r>
    </w:p>
    <w:bookmarkEnd w:id="14"/>
    <w:bookmarkEnd w:id="15"/>
    <w:bookmarkEnd w:id="16"/>
    <w:bookmarkEnd w:id="17"/>
    <w:bookmarkEnd w:id="18"/>
    <w:p w14:paraId="562DFA78">
      <w:pPr>
        <w:pStyle w:val="22"/>
        <w:rPr>
          <w:rFonts w:hint="eastAsia"/>
          <w:color w:val="auto"/>
        </w:rPr>
      </w:pPr>
      <w:bookmarkStart w:id="19" w:name="_Toc30358"/>
      <w:bookmarkStart w:id="20" w:name="_Toc3434"/>
      <w:bookmarkStart w:id="21" w:name="_Toc25496"/>
      <w:bookmarkStart w:id="22" w:name="_Toc10137"/>
      <w:bookmarkStart w:id="23" w:name="_Toc26504"/>
      <w:bookmarkStart w:id="24" w:name="_Toc76373866"/>
    </w:p>
    <w:p w14:paraId="20FC5D1D">
      <w:pPr>
        <w:widowControl/>
        <w:spacing w:line="400" w:lineRule="exact"/>
        <w:outlineLvl w:val="1"/>
        <w:rPr>
          <w:rFonts w:hint="eastAsia" w:ascii="宋体" w:hAnsi="宋体" w:cs="宋体"/>
          <w:b/>
          <w:color w:val="auto"/>
          <w:sz w:val="24"/>
        </w:rPr>
      </w:pPr>
      <w:bookmarkStart w:id="25" w:name="_Toc3249"/>
      <w:r>
        <w:rPr>
          <w:rFonts w:hint="eastAsia" w:ascii="宋体" w:hAnsi="宋体" w:cs="宋体"/>
          <w:b/>
          <w:color w:val="auto"/>
          <w:sz w:val="24"/>
        </w:rPr>
        <w:t>二、</w:t>
      </w:r>
      <w:r>
        <w:rPr>
          <w:rFonts w:hint="eastAsia" w:ascii="宋体" w:hAnsi="宋体" w:cs="宋体"/>
          <w:b/>
          <w:color w:val="auto"/>
          <w:sz w:val="24"/>
          <w:lang w:val="en-US" w:eastAsia="zh-CN"/>
        </w:rPr>
        <w:t>竞选</w:t>
      </w:r>
      <w:r>
        <w:rPr>
          <w:rFonts w:hint="eastAsia" w:ascii="宋体" w:hAnsi="宋体" w:cs="宋体"/>
          <w:b/>
          <w:color w:val="auto"/>
          <w:sz w:val="24"/>
        </w:rPr>
        <w:t>人资格要求</w:t>
      </w:r>
      <w:bookmarkEnd w:id="19"/>
      <w:bookmarkEnd w:id="20"/>
      <w:bookmarkEnd w:id="21"/>
      <w:bookmarkEnd w:id="22"/>
      <w:bookmarkEnd w:id="23"/>
      <w:bookmarkEnd w:id="24"/>
      <w:bookmarkEnd w:id="25"/>
    </w:p>
    <w:p w14:paraId="5FB8BB2E">
      <w:pPr>
        <w:widowControl/>
        <w:spacing w:line="400" w:lineRule="exact"/>
        <w:ind w:firstLine="480" w:firstLineChars="200"/>
        <w:rPr>
          <w:rFonts w:hint="eastAsia" w:ascii="宋体" w:hAnsi="宋体" w:cs="宋体"/>
          <w:bCs/>
          <w:color w:val="auto"/>
          <w:sz w:val="24"/>
          <w:szCs w:val="24"/>
        </w:rPr>
      </w:pPr>
      <w:r>
        <w:rPr>
          <w:rFonts w:hint="eastAsia" w:ascii="宋体" w:hAnsi="宋体" w:cs="宋体"/>
          <w:bCs/>
          <w:color w:val="auto"/>
          <w:sz w:val="24"/>
          <w:lang w:val="en-US" w:eastAsia="zh-CN"/>
        </w:rPr>
        <w:t>竞选</w:t>
      </w:r>
      <w:r>
        <w:rPr>
          <w:rFonts w:hint="eastAsia" w:ascii="宋体" w:hAnsi="宋体" w:cs="宋体"/>
          <w:bCs/>
          <w:color w:val="auto"/>
          <w:sz w:val="24"/>
        </w:rPr>
        <w:t>人</w:t>
      </w:r>
      <w:r>
        <w:rPr>
          <w:rFonts w:hint="eastAsia" w:ascii="宋体" w:hAnsi="宋体" w:cs="宋体"/>
          <w:bCs/>
          <w:color w:val="auto"/>
          <w:sz w:val="24"/>
          <w:szCs w:val="24"/>
        </w:rPr>
        <w:t>应首先符合政府采购法第二十二条规定的基本资格条件，同时符合根据该项目特殊要求设置的特定资格条件。</w:t>
      </w:r>
    </w:p>
    <w:p w14:paraId="6A999EC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1.基本资格条件</w:t>
      </w:r>
    </w:p>
    <w:p w14:paraId="2E605471">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（1）具有独立承担民事责任的能力</w:t>
      </w:r>
    </w:p>
    <w:p w14:paraId="1C8E2365">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（2）具有良好的商业信誉和健全的财务会计制度；</w:t>
      </w:r>
    </w:p>
    <w:p w14:paraId="10585F5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（3）具有履行合同所必需的设备和专业技术能力；</w:t>
      </w:r>
    </w:p>
    <w:p w14:paraId="79B575AF">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（4）有依法缴纳税收和社会保障资金的良好记录；</w:t>
      </w:r>
    </w:p>
    <w:p w14:paraId="78995BDD">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（5）参加政府采购活动前三年内，在经营活动中没有重大违法记录；</w:t>
      </w:r>
    </w:p>
    <w:p w14:paraId="69E29BFA">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6）提供</w:t>
      </w:r>
      <w:r>
        <w:rPr>
          <w:rFonts w:hint="eastAsia" w:ascii="宋体" w:hAnsi="宋体" w:cs="宋体"/>
          <w:color w:val="auto"/>
          <w:sz w:val="24"/>
          <w:szCs w:val="24"/>
        </w:rPr>
        <w:t>《医药价格和招采信用评级等级承诺书》</w:t>
      </w:r>
      <w:r>
        <w:rPr>
          <w:rFonts w:hint="eastAsia" w:ascii="宋体" w:hAnsi="宋体" w:cs="宋体"/>
          <w:color w:val="auto"/>
          <w:sz w:val="24"/>
          <w:szCs w:val="24"/>
          <w:lang w:eastAsia="zh-CN"/>
        </w:rPr>
        <w:t>，</w:t>
      </w:r>
      <w:r>
        <w:rPr>
          <w:rFonts w:hint="eastAsia" w:ascii="宋体" w:hAnsi="宋体" w:cs="宋体"/>
          <w:color w:val="auto"/>
          <w:sz w:val="24"/>
          <w:szCs w:val="24"/>
        </w:rPr>
        <w:t>不得是医药价格和招采信用评级等级为“中等”“严重”及“特别严重”企业。</w:t>
      </w:r>
    </w:p>
    <w:p w14:paraId="32A2D752">
      <w:pPr>
        <w:widowControl/>
        <w:spacing w:line="400" w:lineRule="exact"/>
        <w:ind w:firstLine="480" w:firstLineChars="200"/>
        <w:rPr>
          <w:rFonts w:hint="eastAsia" w:ascii="宋体" w:hAnsi="宋体" w:eastAsia="宋体" w:cs="宋体"/>
          <w:color w:val="auto"/>
          <w:sz w:val="24"/>
          <w:szCs w:val="24"/>
          <w:lang w:eastAsia="zh-CN"/>
        </w:rPr>
      </w:pPr>
      <w:r>
        <w:rPr>
          <w:rFonts w:hint="eastAsia" w:ascii="宋体" w:hAnsi="宋体" w:cs="宋体"/>
          <w:color w:val="auto"/>
          <w:sz w:val="24"/>
          <w:szCs w:val="24"/>
        </w:rPr>
        <w:t>（</w:t>
      </w:r>
      <w:r>
        <w:rPr>
          <w:rFonts w:hint="eastAsia" w:ascii="宋体" w:hAnsi="宋体" w:cs="宋体"/>
          <w:color w:val="auto"/>
          <w:sz w:val="24"/>
          <w:szCs w:val="24"/>
          <w:lang w:val="en-US" w:eastAsia="zh-CN"/>
        </w:rPr>
        <w:t>7</w:t>
      </w:r>
      <w:r>
        <w:rPr>
          <w:rFonts w:hint="eastAsia" w:ascii="宋体" w:hAnsi="宋体" w:cs="宋体"/>
          <w:color w:val="auto"/>
          <w:sz w:val="24"/>
          <w:szCs w:val="24"/>
        </w:rPr>
        <w:t>）法律、行政法规规定的其他条件</w:t>
      </w:r>
      <w:r>
        <w:rPr>
          <w:rFonts w:hint="eastAsia" w:ascii="宋体" w:hAnsi="宋体" w:cs="宋体"/>
          <w:color w:val="auto"/>
          <w:sz w:val="24"/>
          <w:szCs w:val="24"/>
          <w:lang w:eastAsia="zh-CN"/>
        </w:rPr>
        <w:t>。</w:t>
      </w:r>
    </w:p>
    <w:p w14:paraId="240D182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2.特定资格条件</w:t>
      </w:r>
    </w:p>
    <w:p w14:paraId="476C4E5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w:t>
      </w:r>
      <w:r>
        <w:rPr>
          <w:rFonts w:hint="eastAsia" w:ascii="宋体" w:hAnsi="宋体" w:cs="宋体"/>
          <w:bCs/>
          <w:color w:val="auto"/>
          <w:sz w:val="24"/>
        </w:rPr>
        <w:t>竞选</w:t>
      </w:r>
      <w:r>
        <w:rPr>
          <w:rFonts w:hint="eastAsia" w:ascii="宋体" w:hAnsi="宋体" w:cs="宋体"/>
          <w:color w:val="auto"/>
          <w:sz w:val="24"/>
          <w:szCs w:val="24"/>
        </w:rPr>
        <w:t>人为所竞选产品制造商或经销商。若为经销商竞选，须具备竞选产品制造商或制造商中国境内代表机构认可的经销资格。</w:t>
      </w:r>
    </w:p>
    <w:p w14:paraId="0EC2C16D">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属于第一类医疗器械的，须提供第一类医疗器械备案信息表（提供信息表复印件）；属于第二、三类医疗器械的，须具有所竞选产品有效期内的《中华人民共和国医疗器械注册证》，若注册证有附件的，还须提供附件《医疗器械产品注册登记表》（加盖公章的复印件）；</w:t>
      </w:r>
    </w:p>
    <w:p w14:paraId="354098D5">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（3）生产企业的医疗器械生产企业许可证（复印件，加盖公章）；</w:t>
      </w:r>
    </w:p>
    <w:p w14:paraId="39888598">
      <w:pPr>
        <w:keepNext/>
        <w:overflowPunct w:val="0"/>
        <w:spacing w:line="400" w:lineRule="exact"/>
        <w:ind w:firstLine="480" w:firstLineChars="200"/>
        <w:rPr>
          <w:rFonts w:hint="eastAsia" w:ascii="宋体" w:hAnsi="宋体" w:cs="宋体"/>
          <w:color w:val="auto"/>
          <w:sz w:val="24"/>
          <w:szCs w:val="24"/>
          <w:lang w:eastAsia="zh-CN"/>
        </w:rPr>
      </w:pPr>
      <w:r>
        <w:rPr>
          <w:rFonts w:hint="eastAsia" w:ascii="宋体" w:hAnsi="宋体" w:cs="宋体"/>
          <w:color w:val="auto"/>
          <w:sz w:val="24"/>
          <w:szCs w:val="24"/>
        </w:rPr>
        <w:t>（4）</w:t>
      </w:r>
      <w:r>
        <w:rPr>
          <w:rFonts w:hint="eastAsia" w:ascii="宋体" w:hAnsi="宋体" w:cs="宋体"/>
          <w:bCs/>
          <w:color w:val="auto"/>
          <w:sz w:val="24"/>
        </w:rPr>
        <w:t>竞选</w:t>
      </w:r>
      <w:r>
        <w:rPr>
          <w:rFonts w:hint="eastAsia" w:ascii="宋体" w:hAnsi="宋体" w:cs="宋体"/>
          <w:color w:val="auto"/>
          <w:sz w:val="24"/>
          <w:szCs w:val="24"/>
        </w:rPr>
        <w:t>人医疗器械经营许可证及营业执照（加盖公章的复印件）；若不是所投产品的制造商，所投产品属于第二类医疗器械的，竞选人应具备第二类医疗器械经营备案证（提供第二类医疗器械经营备案凭证复印件。提供的营业执照应有经营或销售第二类医疗器械相对应的内容）；所投产品属于第三类医疗器械的，竞选人应具备医疗器械经营许可证（提供许可证复印件）</w:t>
      </w:r>
      <w:r>
        <w:rPr>
          <w:rFonts w:hint="eastAsia" w:ascii="宋体" w:hAnsi="宋体" w:cs="宋体"/>
          <w:color w:val="auto"/>
          <w:sz w:val="24"/>
          <w:szCs w:val="24"/>
          <w:lang w:eastAsia="zh-CN"/>
        </w:rPr>
        <w:t>；</w:t>
      </w:r>
    </w:p>
    <w:p w14:paraId="4B38ECDD">
      <w:pPr>
        <w:keepNext/>
        <w:overflowPunct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rPr>
        <w:t>（5）竞选单位法定代表人签发的授权委托书（须明确授权范围）及身份证明（加盖公章的复印件）。</w:t>
      </w:r>
    </w:p>
    <w:p w14:paraId="21F12D51">
      <w:pPr>
        <w:pStyle w:val="22"/>
        <w:rPr>
          <w:rFonts w:hint="eastAsia"/>
          <w:lang w:eastAsia="zh-CN"/>
        </w:rPr>
      </w:pPr>
    </w:p>
    <w:p w14:paraId="6B99929D">
      <w:pPr>
        <w:keepNext/>
        <w:overflowPunct w:val="0"/>
        <w:spacing w:line="400" w:lineRule="exact"/>
        <w:outlineLvl w:val="1"/>
        <w:rPr>
          <w:rFonts w:ascii="宋体" w:hAnsi="宋体" w:cs="宋体"/>
          <w:b/>
          <w:color w:val="auto"/>
          <w:sz w:val="24"/>
        </w:rPr>
      </w:pPr>
      <w:bookmarkStart w:id="26" w:name="_Toc2529"/>
      <w:bookmarkStart w:id="27" w:name="_Toc7015"/>
      <w:r>
        <w:rPr>
          <w:rFonts w:hint="eastAsia" w:ascii="宋体" w:hAnsi="宋体" w:cs="宋体"/>
          <w:b/>
          <w:color w:val="auto"/>
          <w:sz w:val="24"/>
        </w:rPr>
        <w:t>三、竞选有关规定</w:t>
      </w:r>
      <w:bookmarkEnd w:id="26"/>
      <w:r>
        <w:rPr>
          <w:rFonts w:hint="eastAsia" w:ascii="宋体" w:hAnsi="宋体" w:cs="宋体"/>
          <w:b/>
          <w:color w:val="auto"/>
          <w:sz w:val="24"/>
        </w:rPr>
        <w:t>及说明</w:t>
      </w:r>
      <w:bookmarkEnd w:id="27"/>
    </w:p>
    <w:p w14:paraId="77D38A42">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1、单位负责人为同一人或者存在直接控股、管理关系的不同供应商，不得参加同一合同项的采购活动。</w:t>
      </w:r>
    </w:p>
    <w:p w14:paraId="155A0D4B">
      <w:pPr>
        <w:keepNext/>
        <w:overflowPunct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2、为采购项目提供整体设计、规范编制或者项目管理、监理、检测等服务的供应商，不得再参加该采购项目的其他采购活动。</w:t>
      </w:r>
    </w:p>
    <w:p w14:paraId="5528AC06">
      <w:pPr>
        <w:keepNext/>
        <w:overflowPunct w:val="0"/>
        <w:spacing w:line="400" w:lineRule="exact"/>
        <w:ind w:firstLine="480" w:firstLineChars="200"/>
        <w:rPr>
          <w:rFonts w:hint="default" w:ascii="宋体" w:hAnsi="宋体" w:eastAsia="宋体" w:cs="宋体"/>
          <w:color w:val="auto"/>
          <w:sz w:val="24"/>
          <w:szCs w:val="24"/>
          <w:lang w:val="en-US" w:eastAsia="zh-CN"/>
        </w:rPr>
      </w:pPr>
      <w:r>
        <w:rPr>
          <w:rFonts w:hint="eastAsia" w:ascii="宋体" w:hAnsi="宋体" w:cs="宋体"/>
          <w:color w:val="auto"/>
          <w:sz w:val="24"/>
          <w:szCs w:val="24"/>
        </w:rPr>
        <w:t>3、同一合同项（分包）下为单一品目的货物采购中，同一品牌同一型号产品有多家供应商参加竞选，只能按照一家竞选人计算。</w:t>
      </w:r>
      <w:r>
        <w:rPr>
          <w:rFonts w:hint="eastAsia" w:ascii="宋体" w:hAnsi="宋体" w:cs="宋体"/>
          <w:color w:val="auto"/>
          <w:sz w:val="24"/>
          <w:szCs w:val="24"/>
          <w:lang w:val="en-US" w:eastAsia="zh-CN"/>
        </w:rPr>
        <w:t>同一合同项</w:t>
      </w:r>
      <w:r>
        <w:rPr>
          <w:rFonts w:hint="eastAsia" w:ascii="宋体" w:hAnsi="宋体" w:cs="宋体"/>
          <w:color w:val="auto"/>
          <w:sz w:val="24"/>
          <w:szCs w:val="24"/>
        </w:rPr>
        <w:t>（分包）</w:t>
      </w:r>
      <w:r>
        <w:rPr>
          <w:rFonts w:hint="eastAsia" w:ascii="宋体" w:hAnsi="宋体" w:cs="宋体"/>
          <w:color w:val="auto"/>
          <w:sz w:val="24"/>
          <w:szCs w:val="24"/>
          <w:lang w:val="en-US" w:eastAsia="zh-CN"/>
        </w:rPr>
        <w:t>具体项目</w:t>
      </w:r>
      <w:r>
        <w:rPr>
          <w:rFonts w:hint="eastAsia" w:ascii="宋体" w:hAnsi="宋体" w:cs="宋体"/>
          <w:color w:val="auto"/>
          <w:sz w:val="24"/>
          <w:szCs w:val="24"/>
          <w:lang w:eastAsia="zh-CN"/>
        </w:rPr>
        <w:t>，</w:t>
      </w:r>
      <w:r>
        <w:rPr>
          <w:rFonts w:hint="eastAsia" w:ascii="宋体" w:hAnsi="宋体" w:cs="宋体"/>
          <w:color w:val="auto"/>
          <w:sz w:val="24"/>
          <w:szCs w:val="24"/>
          <w:lang w:val="en-US" w:eastAsia="zh-CN"/>
        </w:rPr>
        <w:t>供应商只能报一个品牌。</w:t>
      </w:r>
    </w:p>
    <w:p w14:paraId="1B767F13">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4、同一合同项（分包）下的货物，制造商参与竞选的，不得再委托代理商参与竞选。</w:t>
      </w:r>
    </w:p>
    <w:p w14:paraId="4D3C3E68">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5、竞选货物必须符合国家标准、行业标准和专业标准等相关标准。</w:t>
      </w:r>
    </w:p>
    <w:p w14:paraId="05252FEC">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6、截至采购活动正式开始前，采购人所作出的一切书面或官网发布的更正、修改、补充说明、答疑等内容，都是采购文件不可分割的组成部分。</w:t>
      </w:r>
    </w:p>
    <w:p w14:paraId="2A032B65">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7、报名单位名称必须与竞选人名称相同，只有按上述资格规定报名后，才具备采购准入资格。</w:t>
      </w:r>
    </w:p>
    <w:p w14:paraId="505C9382">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8、竞选人如对采购文件有任何实质性疑问，应当以书面形式向采购人提出质疑，且该书面质疑文件必须在公告时间结束前送达重庆医科大学附属第二医院采购管理处办公室，否则，即视为完全放弃对采购文件的质疑权利。</w:t>
      </w:r>
    </w:p>
    <w:p w14:paraId="2B213918">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9、超过报名截止时间递交的竞选文件、不按本采购文件规定制作和密封的竞选文件，恕不接收。</w:t>
      </w:r>
    </w:p>
    <w:p w14:paraId="13472FA2">
      <w:pPr>
        <w:widowControl/>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10、采购文件中涉及的“采购人”系指本次组织竞选的重庆医科大学附属第二医院；</w:t>
      </w:r>
    </w:p>
    <w:p w14:paraId="0DCD69C7">
      <w:pPr>
        <w:widowControl/>
        <w:spacing w:line="400" w:lineRule="exact"/>
        <w:ind w:firstLine="480" w:firstLineChars="200"/>
        <w:rPr>
          <w:rFonts w:eastAsia="仿宋_GB2312"/>
          <w:color w:val="auto"/>
        </w:rPr>
      </w:pPr>
      <w:r>
        <w:rPr>
          <w:rFonts w:hint="eastAsia" w:ascii="宋体" w:hAnsi="宋体" w:cs="宋体"/>
          <w:color w:val="auto"/>
          <w:sz w:val="24"/>
          <w:szCs w:val="24"/>
        </w:rPr>
        <w:t>11、“供应商”“竞选人”“中选人”是指拟参加竞选和向采购人提供货物及相应服务的供应商。</w:t>
      </w:r>
    </w:p>
    <w:p w14:paraId="6724771A">
      <w:pPr>
        <w:widowControl/>
        <w:spacing w:line="400" w:lineRule="exact"/>
        <w:outlineLvl w:val="1"/>
        <w:rPr>
          <w:rFonts w:hint="eastAsia" w:ascii="宋体" w:hAnsi="宋体" w:cs="宋体"/>
          <w:b/>
          <w:bCs/>
          <w:color w:val="auto"/>
          <w:sz w:val="24"/>
          <w:szCs w:val="24"/>
        </w:rPr>
      </w:pPr>
      <w:bookmarkStart w:id="28" w:name="_Toc17341"/>
      <w:bookmarkStart w:id="29" w:name="_Toc6749"/>
      <w:bookmarkStart w:id="30" w:name="_Toc18799"/>
      <w:bookmarkStart w:id="31" w:name="_Toc7527"/>
      <w:bookmarkStart w:id="32" w:name="_Toc654"/>
      <w:bookmarkStart w:id="33" w:name="_Toc28099"/>
      <w:r>
        <w:rPr>
          <w:rFonts w:hint="eastAsia" w:ascii="宋体" w:hAnsi="宋体" w:cs="宋体"/>
          <w:b/>
          <w:bCs/>
          <w:color w:val="auto"/>
          <w:sz w:val="24"/>
          <w:szCs w:val="24"/>
        </w:rPr>
        <w:t>四、报名时间、地点、方式</w:t>
      </w:r>
      <w:bookmarkEnd w:id="28"/>
      <w:bookmarkEnd w:id="29"/>
    </w:p>
    <w:p w14:paraId="1EF30B85">
      <w:pPr>
        <w:pStyle w:val="52"/>
        <w:spacing w:before="0" w:beforeAutospacing="0" w:after="0" w:afterAutospacing="0" w:line="400" w:lineRule="exact"/>
        <w:ind w:firstLine="480" w:firstLineChars="200"/>
        <w:jc w:val="both"/>
        <w:rPr>
          <w:rFonts w:hint="default" w:ascii="宋体" w:hAnsi="宋体" w:eastAsia="宋体" w:cs="宋体"/>
          <w:color w:val="auto"/>
          <w:sz w:val="24"/>
          <w:szCs w:val="24"/>
          <w:lang w:val="en-US" w:eastAsia="zh-CN"/>
        </w:rPr>
      </w:pPr>
      <w:bookmarkStart w:id="34" w:name="_Toc14530"/>
      <w:r>
        <w:rPr>
          <w:rFonts w:hint="eastAsia" w:ascii="宋体" w:hAnsi="宋体" w:eastAsia="宋体" w:cs="宋体"/>
          <w:color w:val="auto"/>
          <w:sz w:val="24"/>
          <w:szCs w:val="24"/>
        </w:rPr>
        <w:t>1.报名截止时间：</w:t>
      </w:r>
      <w:r>
        <w:rPr>
          <w:rFonts w:hint="eastAsia" w:ascii="宋体" w:hAnsi="宋体" w:eastAsia="宋体" w:cs="宋体"/>
          <w:color w:val="auto"/>
          <w:sz w:val="24"/>
          <w:szCs w:val="24"/>
          <w:lang w:val="en-US" w:eastAsia="zh-CN"/>
        </w:rPr>
        <w:t>见公告</w:t>
      </w:r>
    </w:p>
    <w:p w14:paraId="57BD5EBB">
      <w:pPr>
        <w:spacing w:line="400" w:lineRule="exact"/>
        <w:ind w:firstLine="480" w:firstLineChars="200"/>
        <w:rPr>
          <w:rFonts w:hint="default" w:ascii="Times New Roman" w:hAnsi="Times New Roman" w:eastAsia="宋体" w:cs="Times New Roman"/>
          <w:color w:val="auto"/>
          <w:kern w:val="0"/>
          <w:sz w:val="24"/>
          <w:szCs w:val="24"/>
          <w:lang w:eastAsia="zh-CN"/>
        </w:rPr>
      </w:pPr>
      <w:r>
        <w:rPr>
          <w:rFonts w:hint="eastAsia" w:ascii="宋体" w:hAnsi="宋体" w:eastAsia="宋体" w:cs="宋体"/>
          <w:color w:val="auto"/>
          <w:sz w:val="24"/>
          <w:szCs w:val="24"/>
        </w:rPr>
        <w:t>2.报名方式及要求：按照采购邀请书第二条竞选人资格的要求，</w:t>
      </w:r>
      <w:r>
        <w:rPr>
          <w:rFonts w:hint="eastAsia" w:ascii="宋体" w:hAnsi="宋体" w:eastAsia="宋体" w:cs="宋体"/>
          <w:color w:val="auto"/>
          <w:sz w:val="24"/>
          <w:szCs w:val="24"/>
          <w:lang w:eastAsia="zh-CN"/>
        </w:rPr>
        <w:t>将</w:t>
      </w:r>
      <w:r>
        <w:rPr>
          <w:rFonts w:hint="default" w:ascii="宋体" w:hAnsi="宋体" w:eastAsia="宋体" w:cs="宋体"/>
          <w:color w:val="auto"/>
          <w:sz w:val="24"/>
          <w:szCs w:val="24"/>
          <w:lang w:eastAsia="zh-CN"/>
        </w:rPr>
        <w:t>电子版</w:t>
      </w:r>
      <w:r>
        <w:rPr>
          <w:rFonts w:hint="default" w:ascii="Times New Roman" w:hAnsi="Times New Roman" w:cs="Times New Roman"/>
          <w:b/>
          <w:bCs/>
          <w:color w:val="auto"/>
          <w:kern w:val="0"/>
          <w:sz w:val="24"/>
          <w:szCs w:val="24"/>
          <w:u w:val="single"/>
          <w:lang w:eastAsia="zh-CN"/>
        </w:rPr>
        <w:t>资质材料</w:t>
      </w:r>
      <w:r>
        <w:rPr>
          <w:rFonts w:hint="default" w:ascii="宋体" w:hAnsi="宋体" w:eastAsia="宋体" w:cs="宋体"/>
          <w:color w:val="auto"/>
          <w:sz w:val="24"/>
          <w:szCs w:val="24"/>
          <w:lang w:eastAsia="zh-CN"/>
        </w:rPr>
        <w:t>和</w:t>
      </w:r>
      <w:r>
        <w:rPr>
          <w:rFonts w:hint="default" w:ascii="Times New Roman" w:hAnsi="Times New Roman" w:cs="Times New Roman"/>
          <w:b/>
          <w:bCs/>
          <w:color w:val="auto"/>
          <w:kern w:val="0"/>
          <w:sz w:val="24"/>
          <w:szCs w:val="24"/>
          <w:u w:val="single"/>
          <w:lang w:eastAsia="zh-CN"/>
        </w:rPr>
        <w:t>报名表</w:t>
      </w:r>
      <w:r>
        <w:rPr>
          <w:rFonts w:hint="default" w:ascii="宋体" w:hAnsi="宋体" w:eastAsia="宋体" w:cs="宋体"/>
          <w:color w:val="auto"/>
          <w:sz w:val="24"/>
          <w:szCs w:val="24"/>
          <w:lang w:eastAsia="zh-CN"/>
        </w:rPr>
        <w:t>作为邮件附件</w:t>
      </w:r>
      <w:r>
        <w:rPr>
          <w:rFonts w:hint="default" w:ascii="宋体" w:hAnsi="宋体" w:eastAsia="宋体" w:cs="宋体"/>
          <w:color w:val="auto"/>
          <w:sz w:val="24"/>
          <w:szCs w:val="24"/>
          <w:lang w:val="en-US" w:eastAsia="zh-CN"/>
        </w:rPr>
        <w:t>发送至</w:t>
      </w:r>
      <w:r>
        <w:rPr>
          <w:rFonts w:hint="default" w:ascii="宋体" w:hAnsi="宋体" w:eastAsia="宋体" w:cs="宋体"/>
          <w:color w:val="auto"/>
          <w:sz w:val="24"/>
          <w:szCs w:val="24"/>
          <w:lang w:eastAsia="zh-CN"/>
        </w:rPr>
        <w:t>邮箱</w:t>
      </w:r>
      <w:bookmarkStart w:id="35" w:name="OLE_LINK1"/>
      <w:r>
        <w:rPr>
          <w:rFonts w:hint="default" w:ascii="Times New Roman" w:hAnsi="Times New Roman" w:cs="Times New Roman"/>
          <w:b w:val="0"/>
          <w:bCs/>
          <w:color w:val="auto"/>
          <w:kern w:val="0"/>
          <w:sz w:val="24"/>
          <w:szCs w:val="24"/>
          <w:u w:val="single"/>
        </w:rPr>
        <w:t>3946367709@qq.com</w:t>
      </w:r>
      <w:bookmarkEnd w:id="35"/>
      <w:r>
        <w:rPr>
          <w:rFonts w:hint="eastAsia" w:ascii="宋体" w:hAnsi="宋体" w:eastAsia="宋体" w:cs="宋体"/>
          <w:color w:val="auto"/>
          <w:sz w:val="24"/>
          <w:szCs w:val="24"/>
          <w:lang w:eastAsia="zh-CN"/>
        </w:rPr>
        <w:t>。</w:t>
      </w:r>
      <w:r>
        <w:rPr>
          <w:rFonts w:hint="default" w:ascii="宋体" w:hAnsi="宋体" w:eastAsia="宋体" w:cs="宋体"/>
          <w:color w:val="auto"/>
          <w:sz w:val="24"/>
          <w:szCs w:val="24"/>
          <w:lang w:val="en-US" w:eastAsia="zh-CN"/>
        </w:rPr>
        <w:t>报名邮件主题为</w:t>
      </w:r>
      <w:r>
        <w:rPr>
          <w:rFonts w:hint="default" w:ascii="Times New Roman" w:hAnsi="Times New Roman" w:cs="Times New Roman"/>
          <w:color w:val="auto"/>
          <w:kern w:val="0"/>
          <w:sz w:val="24"/>
          <w:szCs w:val="24"/>
          <w:lang w:val="en-US" w:eastAsia="zh-CN"/>
        </w:rPr>
        <w:t>“</w:t>
      </w:r>
      <w:r>
        <w:rPr>
          <w:rFonts w:hint="default" w:ascii="宋体" w:hAnsi="宋体" w:eastAsia="宋体" w:cs="宋体"/>
          <w:color w:val="auto"/>
          <w:sz w:val="24"/>
          <w:szCs w:val="24"/>
          <w:lang w:val="en-US" w:eastAsia="zh-CN"/>
        </w:rPr>
        <w:t>报名</w:t>
      </w:r>
      <w:r>
        <w:rPr>
          <w:rFonts w:hint="eastAsia" w:ascii="宋体" w:hAnsi="宋体" w:cs="宋体"/>
          <w:i w:val="0"/>
          <w:iCs w:val="0"/>
          <w:color w:val="auto"/>
          <w:kern w:val="0"/>
          <w:sz w:val="24"/>
          <w:szCs w:val="24"/>
          <w:u w:val="none"/>
          <w:lang w:val="en-US" w:eastAsia="zh-CN" w:bidi="ar"/>
        </w:rPr>
        <w:t>精准血液肿瘤NGS</w:t>
      </w:r>
      <w:r>
        <w:rPr>
          <w:rFonts w:hint="default" w:ascii="宋体" w:hAnsi="宋体" w:eastAsia="宋体" w:cs="宋体"/>
          <w:color w:val="auto"/>
          <w:sz w:val="24"/>
          <w:szCs w:val="24"/>
          <w:lang w:val="en-US" w:eastAsia="zh-CN"/>
        </w:rPr>
        <w:t>项目”，报名邮件正文</w:t>
      </w:r>
      <w:r>
        <w:rPr>
          <w:rFonts w:hint="default" w:ascii="Times New Roman" w:hAnsi="Times New Roman" w:cs="Times New Roman"/>
          <w:color w:val="auto"/>
          <w:kern w:val="0"/>
          <w:sz w:val="24"/>
          <w:szCs w:val="24"/>
          <w:lang w:val="en-US" w:eastAsia="zh-CN"/>
        </w:rPr>
        <w:t>为</w:t>
      </w:r>
      <w:r>
        <w:rPr>
          <w:rFonts w:hint="default" w:ascii="Times New Roman" w:hAnsi="Times New Roman" w:cs="Times New Roman"/>
          <w:b w:val="0"/>
          <w:bCs w:val="0"/>
          <w:color w:val="auto"/>
          <w:kern w:val="0"/>
          <w:sz w:val="24"/>
          <w:szCs w:val="24"/>
        </w:rPr>
        <w:t>“</w:t>
      </w:r>
      <w:r>
        <w:rPr>
          <w:rFonts w:hint="eastAsia" w:ascii="宋体" w:hAnsi="宋体" w:cs="宋体"/>
          <w:i w:val="0"/>
          <w:iCs w:val="0"/>
          <w:color w:val="auto"/>
          <w:kern w:val="0"/>
          <w:sz w:val="24"/>
          <w:szCs w:val="24"/>
          <w:u w:val="none"/>
          <w:lang w:val="en-US" w:eastAsia="zh-CN" w:bidi="ar"/>
        </w:rPr>
        <w:t>精准血液肿瘤NGS项目</w:t>
      </w:r>
      <w:r>
        <w:rPr>
          <w:rFonts w:hint="default" w:ascii="宋体" w:hAnsi="宋体" w:eastAsia="宋体" w:cs="宋体"/>
          <w:color w:val="auto"/>
          <w:sz w:val="24"/>
          <w:szCs w:val="24"/>
          <w:lang w:val="en-US" w:eastAsia="zh-CN"/>
        </w:rPr>
        <w:t>、生产厂家、经销商及</w:t>
      </w:r>
      <w:r>
        <w:rPr>
          <w:rFonts w:hint="eastAsia" w:ascii="宋体" w:hAnsi="宋体" w:eastAsia="宋体" w:cs="宋体"/>
          <w:color w:val="auto"/>
          <w:sz w:val="24"/>
          <w:szCs w:val="24"/>
          <w:lang w:val="en-US" w:eastAsia="zh-CN"/>
        </w:rPr>
        <w:t>竞选</w:t>
      </w:r>
      <w:r>
        <w:rPr>
          <w:rFonts w:hint="default" w:ascii="宋体" w:hAnsi="宋体" w:eastAsia="宋体" w:cs="宋体"/>
          <w:color w:val="auto"/>
          <w:sz w:val="24"/>
          <w:szCs w:val="24"/>
          <w:lang w:val="en-US" w:eastAsia="zh-CN"/>
        </w:rPr>
        <w:t>人姓名和电话”，</w:t>
      </w:r>
      <w:r>
        <w:rPr>
          <w:rFonts w:hint="default" w:ascii="Times New Roman" w:hAnsi="Times New Roman" w:cs="Times New Roman"/>
          <w:color w:val="auto"/>
          <w:kern w:val="0"/>
          <w:sz w:val="24"/>
          <w:szCs w:val="24"/>
        </w:rPr>
        <w:t>逾期不再受理。</w:t>
      </w:r>
      <w:r>
        <w:rPr>
          <w:rFonts w:hint="default" w:ascii="Times New Roman" w:hAnsi="Times New Roman" w:eastAsia="宋体" w:cs="Times New Roman"/>
          <w:color w:val="auto"/>
          <w:kern w:val="0"/>
          <w:sz w:val="24"/>
          <w:szCs w:val="24"/>
          <w:lang w:eastAsia="zh-CN"/>
        </w:rPr>
        <w:t>注意每个</w:t>
      </w:r>
      <w:r>
        <w:rPr>
          <w:rFonts w:hint="eastAsia" w:ascii="Times New Roman" w:hAnsi="Times New Roman" w:eastAsia="宋体" w:cs="Times New Roman"/>
          <w:color w:val="auto"/>
          <w:kern w:val="0"/>
          <w:sz w:val="24"/>
          <w:szCs w:val="24"/>
          <w:lang w:eastAsia="zh-CN"/>
        </w:rPr>
        <w:t>包</w:t>
      </w:r>
      <w:r>
        <w:rPr>
          <w:rFonts w:hint="default" w:ascii="Times New Roman" w:hAnsi="Times New Roman" w:eastAsia="宋体" w:cs="Times New Roman"/>
          <w:color w:val="auto"/>
          <w:kern w:val="0"/>
          <w:sz w:val="24"/>
          <w:szCs w:val="24"/>
          <w:lang w:eastAsia="zh-CN"/>
        </w:rPr>
        <w:t>号产品需要制作有且仅有</w:t>
      </w:r>
      <w:r>
        <w:rPr>
          <w:rFonts w:hint="default" w:ascii="Times New Roman" w:hAnsi="Times New Roman" w:eastAsia="宋体" w:cs="Times New Roman"/>
          <w:color w:val="auto"/>
          <w:kern w:val="0"/>
          <w:sz w:val="24"/>
          <w:szCs w:val="24"/>
          <w:lang w:val="en-US" w:eastAsia="zh-CN"/>
        </w:rPr>
        <w:t>1个EXCEL</w:t>
      </w:r>
      <w:r>
        <w:rPr>
          <w:rFonts w:hint="default" w:ascii="Times New Roman" w:hAnsi="Times New Roman" w:eastAsia="宋体" w:cs="Times New Roman"/>
          <w:color w:val="auto"/>
          <w:kern w:val="0"/>
          <w:sz w:val="24"/>
          <w:szCs w:val="24"/>
          <w:lang w:eastAsia="zh-CN"/>
        </w:rPr>
        <w:t>报名表进行报名。</w:t>
      </w:r>
    </w:p>
    <w:p w14:paraId="7D64FE0D">
      <w:pPr>
        <w:spacing w:line="400" w:lineRule="exact"/>
        <w:ind w:firstLine="482" w:firstLineChars="200"/>
        <w:rPr>
          <w:rFonts w:hint="default" w:ascii="Times New Roman" w:hAnsi="Times New Roman" w:cs="Times New Roman"/>
          <w:b w:val="0"/>
          <w:bCs/>
          <w:color w:val="auto"/>
          <w:kern w:val="0"/>
          <w:sz w:val="24"/>
          <w:szCs w:val="24"/>
          <w:lang w:val="en-US" w:eastAsia="zh-CN"/>
        </w:rPr>
      </w:pPr>
      <w:r>
        <w:rPr>
          <w:rFonts w:hint="default" w:ascii="Times New Roman" w:hAnsi="Times New Roman" w:cs="Times New Roman"/>
          <w:b/>
          <w:bCs/>
          <w:color w:val="auto"/>
          <w:kern w:val="0"/>
          <w:sz w:val="24"/>
          <w:szCs w:val="24"/>
          <w:lang w:eastAsia="zh-CN"/>
        </w:rPr>
        <w:t>资质材料：</w:t>
      </w:r>
      <w:r>
        <w:rPr>
          <w:rFonts w:hint="default" w:ascii="Times New Roman" w:hAnsi="Times New Roman" w:cs="Times New Roman"/>
          <w:color w:val="auto"/>
          <w:kern w:val="0"/>
          <w:sz w:val="24"/>
          <w:szCs w:val="24"/>
          <w:lang w:eastAsia="zh-CN"/>
        </w:rPr>
        <w:t>要求将</w:t>
      </w:r>
      <w:r>
        <w:rPr>
          <w:rFonts w:hint="default" w:ascii="Times New Roman" w:hAnsi="Times New Roman" w:eastAsia="宋体" w:cs="Times New Roman"/>
          <w:color w:val="auto"/>
          <w:kern w:val="0"/>
          <w:sz w:val="24"/>
          <w:szCs w:val="24"/>
          <w:lang w:eastAsia="zh-CN"/>
        </w:rPr>
        <w:t>厂家资质、供应商资质、产品注册证、厂家授权书、法定代表人签发的授权委托书、被授权人身份证明材料</w:t>
      </w:r>
      <w:r>
        <w:rPr>
          <w:rFonts w:hint="default" w:ascii="Times New Roman" w:hAnsi="Times New Roman" w:cs="Times New Roman"/>
          <w:b w:val="0"/>
          <w:bCs/>
          <w:color w:val="auto"/>
          <w:kern w:val="0"/>
          <w:sz w:val="24"/>
          <w:szCs w:val="24"/>
          <w:lang w:eastAsia="zh-CN"/>
        </w:rPr>
        <w:t>按照顺序扫描成</w:t>
      </w:r>
      <w:bookmarkStart w:id="36" w:name="OLE_LINK2"/>
      <w:r>
        <w:rPr>
          <w:rFonts w:hint="default" w:ascii="Times New Roman" w:hAnsi="Times New Roman" w:cs="Times New Roman"/>
          <w:b w:val="0"/>
          <w:bCs/>
          <w:color w:val="auto"/>
          <w:kern w:val="0"/>
          <w:sz w:val="24"/>
          <w:szCs w:val="24"/>
          <w:lang w:val="en-US" w:eastAsia="zh-CN"/>
        </w:rPr>
        <w:t>PDF文档</w:t>
      </w:r>
      <w:bookmarkEnd w:id="36"/>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val="0"/>
          <w:bCs/>
          <w:color w:val="auto"/>
          <w:kern w:val="0"/>
          <w:sz w:val="24"/>
          <w:szCs w:val="24"/>
          <w:u w:val="single"/>
          <w:lang w:val="en-US" w:eastAsia="zh-CN"/>
        </w:rPr>
        <w:t>文档命名为</w:t>
      </w:r>
      <w:r>
        <w:rPr>
          <w:rFonts w:hint="default" w:ascii="Times New Roman" w:hAnsi="Times New Roman" w:eastAsia="宋体" w:cs="Times New Roman"/>
          <w:b w:val="0"/>
          <w:bCs/>
          <w:color w:val="auto"/>
          <w:kern w:val="0"/>
          <w:sz w:val="24"/>
          <w:szCs w:val="24"/>
          <w:u w:val="single"/>
          <w:lang w:val="en-US" w:eastAsia="zh-CN"/>
        </w:rPr>
        <w:t>“</w:t>
      </w:r>
      <w:r>
        <w:rPr>
          <w:rFonts w:hint="eastAsia" w:ascii="宋体" w:hAnsi="宋体" w:cs="宋体"/>
          <w:color w:val="auto"/>
          <w:sz w:val="24"/>
          <w:szCs w:val="24"/>
          <w:u w:val="single"/>
          <w:lang w:val="en-US" w:eastAsia="zh-CN"/>
        </w:rPr>
        <w:t>精准血液肿瘤NGS项目</w:t>
      </w:r>
      <w:r>
        <w:rPr>
          <w:rFonts w:hint="default" w:ascii="Times New Roman" w:hAnsi="Times New Roman" w:cs="Times New Roman"/>
          <w:color w:val="auto"/>
          <w:kern w:val="0"/>
          <w:sz w:val="24"/>
          <w:szCs w:val="24"/>
          <w:u w:val="single"/>
          <w:lang w:val="en-US" w:eastAsia="zh-CN"/>
        </w:rPr>
        <w:t>报名</w:t>
      </w:r>
      <w:r>
        <w:rPr>
          <w:rFonts w:hint="default" w:ascii="Times New Roman" w:hAnsi="Times New Roman" w:cs="Times New Roman"/>
          <w:b w:val="0"/>
          <w:bCs/>
          <w:color w:val="auto"/>
          <w:kern w:val="0"/>
          <w:sz w:val="24"/>
          <w:szCs w:val="24"/>
          <w:u w:val="single"/>
          <w:lang w:val="en-US" w:eastAsia="zh-CN"/>
        </w:rPr>
        <w:t>资质材料</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w:t>
      </w:r>
      <w:r>
        <w:rPr>
          <w:rFonts w:hint="default" w:ascii="Times New Roman" w:hAnsi="Times New Roman" w:eastAsia="宋体" w:cs="Times New Roman"/>
          <w:b/>
          <w:bCs w:val="0"/>
          <w:color w:val="auto"/>
          <w:kern w:val="0"/>
          <w:sz w:val="24"/>
          <w:szCs w:val="24"/>
          <w:lang w:val="en-US" w:eastAsia="zh-CN"/>
        </w:rPr>
        <w:t>传PDF文档为报名邮件</w:t>
      </w:r>
      <w:r>
        <w:rPr>
          <w:rFonts w:hint="default" w:ascii="Times New Roman" w:hAnsi="Times New Roman" w:cs="Times New Roman"/>
          <w:b/>
          <w:bCs w:val="0"/>
          <w:color w:val="auto"/>
          <w:kern w:val="0"/>
          <w:sz w:val="24"/>
          <w:szCs w:val="24"/>
          <w:lang w:val="en-US" w:eastAsia="zh-CN"/>
        </w:rPr>
        <w:t>附件</w:t>
      </w:r>
      <w:r>
        <w:rPr>
          <w:rFonts w:hint="default" w:ascii="Times New Roman" w:hAnsi="Times New Roman" w:cs="Times New Roman"/>
          <w:b w:val="0"/>
          <w:bCs/>
          <w:color w:val="auto"/>
          <w:kern w:val="0"/>
          <w:sz w:val="24"/>
          <w:szCs w:val="24"/>
          <w:lang w:val="en-US" w:eastAsia="zh-CN"/>
        </w:rPr>
        <w:t>。</w:t>
      </w:r>
    </w:p>
    <w:p w14:paraId="710F9BF3">
      <w:pPr>
        <w:spacing w:line="400" w:lineRule="exact"/>
        <w:ind w:firstLine="482" w:firstLineChars="200"/>
        <w:rPr>
          <w:rFonts w:hint="eastAsia" w:ascii="宋体" w:hAnsi="宋体" w:eastAsia="宋体" w:cs="宋体"/>
          <w:color w:val="auto"/>
          <w:sz w:val="24"/>
          <w:szCs w:val="24"/>
          <w:lang w:eastAsia="zh-CN"/>
        </w:rPr>
      </w:pPr>
      <w:r>
        <w:rPr>
          <w:rFonts w:hint="default" w:ascii="Times New Roman" w:hAnsi="Times New Roman" w:cs="Times New Roman"/>
          <w:b/>
          <w:bCs/>
          <w:color w:val="auto"/>
          <w:kern w:val="0"/>
          <w:sz w:val="24"/>
          <w:szCs w:val="24"/>
          <w:lang w:eastAsia="zh-CN"/>
        </w:rPr>
        <w:t>报名表：</w:t>
      </w:r>
      <w:r>
        <w:rPr>
          <w:rFonts w:hint="default" w:ascii="Times New Roman" w:hAnsi="Times New Roman" w:cs="Times New Roman"/>
          <w:color w:val="auto"/>
          <w:sz w:val="24"/>
          <w:szCs w:val="24"/>
        </w:rPr>
        <w:t>从挂网的报名公告中下载</w:t>
      </w:r>
      <w:r>
        <w:rPr>
          <w:rFonts w:hint="default" w:ascii="Times New Roman" w:hAnsi="Times New Roman" w:cs="Times New Roman"/>
          <w:color w:val="auto"/>
          <w:kern w:val="0"/>
          <w:sz w:val="24"/>
          <w:szCs w:val="24"/>
        </w:rPr>
        <w:t>“</w:t>
      </w:r>
      <w:r>
        <w:rPr>
          <w:rFonts w:hint="default" w:ascii="Times New Roman" w:hAnsi="Times New Roman" w:cs="Times New Roman"/>
          <w:b/>
          <w:color w:val="auto"/>
          <w:kern w:val="0"/>
          <w:sz w:val="24"/>
          <w:szCs w:val="24"/>
          <w:u w:val="single"/>
        </w:rPr>
        <w:t>耗材报名表”</w:t>
      </w:r>
      <w:r>
        <w:rPr>
          <w:rFonts w:hint="default" w:ascii="Times New Roman" w:hAnsi="Times New Roman" w:cs="Times New Roman"/>
          <w:b/>
          <w:color w:val="auto"/>
          <w:sz w:val="24"/>
          <w:szCs w:val="24"/>
          <w:u w:val="single"/>
        </w:rPr>
        <w:t>（附件1）</w:t>
      </w:r>
      <w:r>
        <w:rPr>
          <w:rFonts w:hint="default" w:ascii="Times New Roman" w:hAnsi="Times New Roman" w:cs="Times New Roman"/>
          <w:color w:val="auto"/>
          <w:sz w:val="24"/>
          <w:szCs w:val="24"/>
        </w:rPr>
        <w:t>，严格按照要求填写，并将</w:t>
      </w:r>
      <w:r>
        <w:rPr>
          <w:rFonts w:hint="default" w:ascii="Times New Roman" w:hAnsi="Times New Roman" w:cs="Times New Roman"/>
          <w:color w:val="auto"/>
          <w:sz w:val="24"/>
          <w:szCs w:val="24"/>
          <w:u w:val="single"/>
          <w:lang w:val="en-US" w:eastAsia="zh-CN"/>
        </w:rPr>
        <w:t>EXCEL</w:t>
      </w:r>
      <w:r>
        <w:rPr>
          <w:rFonts w:hint="default" w:ascii="Times New Roman" w:hAnsi="Times New Roman" w:cs="Times New Roman"/>
          <w:color w:val="auto"/>
          <w:sz w:val="24"/>
          <w:szCs w:val="24"/>
          <w:u w:val="single"/>
          <w:lang w:eastAsia="zh-CN"/>
        </w:rPr>
        <w:t>文档</w:t>
      </w:r>
      <w:r>
        <w:rPr>
          <w:rFonts w:hint="default" w:ascii="Times New Roman" w:hAnsi="Times New Roman" w:cs="Times New Roman"/>
          <w:color w:val="auto"/>
          <w:sz w:val="24"/>
          <w:szCs w:val="24"/>
          <w:u w:val="single"/>
        </w:rPr>
        <w:t>命名</w:t>
      </w:r>
      <w:r>
        <w:rPr>
          <w:rFonts w:hint="default" w:ascii="Times New Roman" w:hAnsi="Times New Roman" w:eastAsia="宋体" w:cs="Times New Roman"/>
          <w:color w:val="auto"/>
          <w:sz w:val="24"/>
          <w:szCs w:val="24"/>
          <w:u w:val="single"/>
        </w:rPr>
        <w:t>为“</w:t>
      </w:r>
      <w:r>
        <w:rPr>
          <w:rFonts w:hint="eastAsia" w:ascii="宋体" w:hAnsi="宋体" w:cs="宋体"/>
          <w:color w:val="auto"/>
          <w:sz w:val="24"/>
          <w:szCs w:val="24"/>
          <w:u w:val="single"/>
          <w:lang w:val="en-US" w:eastAsia="zh-CN"/>
        </w:rPr>
        <w:t>精准血液肿瘤NGS项目</w:t>
      </w:r>
      <w:r>
        <w:rPr>
          <w:rFonts w:hint="default" w:ascii="Times New Roman" w:hAnsi="Times New Roman" w:eastAsia="宋体" w:cs="Times New Roman"/>
          <w:color w:val="auto"/>
          <w:sz w:val="24"/>
          <w:szCs w:val="24"/>
          <w:u w:val="single"/>
          <w:lang w:eastAsia="zh-CN"/>
        </w:rPr>
        <w:t>-厂家-供应商（报名表）</w:t>
      </w:r>
      <w:r>
        <w:rPr>
          <w:rFonts w:hint="default" w:ascii="Times New Roman" w:hAnsi="Times New Roman" w:cs="Times New Roman"/>
          <w:color w:val="auto"/>
          <w:sz w:val="24"/>
          <w:szCs w:val="24"/>
        </w:rPr>
        <w:t>”</w:t>
      </w:r>
      <w:r>
        <w:rPr>
          <w:rFonts w:hint="default" w:ascii="Times New Roman" w:hAnsi="Times New Roman" w:cs="Times New Roman"/>
          <w:b w:val="0"/>
          <w:bCs/>
          <w:color w:val="auto"/>
          <w:kern w:val="0"/>
          <w:sz w:val="24"/>
          <w:szCs w:val="24"/>
          <w:lang w:val="en-US" w:eastAsia="zh-CN"/>
        </w:rPr>
        <w:t>，</w:t>
      </w:r>
      <w:r>
        <w:rPr>
          <w:rFonts w:hint="default" w:ascii="Times New Roman" w:hAnsi="Times New Roman" w:cs="Times New Roman"/>
          <w:b/>
          <w:bCs w:val="0"/>
          <w:color w:val="auto"/>
          <w:kern w:val="0"/>
          <w:sz w:val="24"/>
          <w:szCs w:val="24"/>
          <w:lang w:val="en-US" w:eastAsia="zh-CN"/>
        </w:rPr>
        <w:t>上传</w:t>
      </w:r>
      <w:r>
        <w:rPr>
          <w:rFonts w:hint="default" w:ascii="Times New Roman" w:hAnsi="Times New Roman" w:cs="Times New Roman"/>
          <w:b/>
          <w:bCs/>
          <w:color w:val="auto"/>
          <w:sz w:val="24"/>
          <w:szCs w:val="24"/>
          <w:lang w:val="en-US" w:eastAsia="zh-CN"/>
        </w:rPr>
        <w:t>EXCEL版本</w:t>
      </w:r>
      <w:r>
        <w:rPr>
          <w:rFonts w:hint="default" w:ascii="Times New Roman" w:hAnsi="Times New Roman" w:cs="Times New Roman"/>
          <w:b/>
          <w:bCs w:val="0"/>
          <w:color w:val="auto"/>
          <w:kern w:val="0"/>
          <w:sz w:val="24"/>
          <w:szCs w:val="24"/>
          <w:lang w:val="en-US" w:eastAsia="zh-CN"/>
        </w:rPr>
        <w:t>为报名邮件附件</w:t>
      </w:r>
      <w:r>
        <w:rPr>
          <w:rFonts w:hint="default" w:ascii="Times New Roman" w:hAnsi="Times New Roman" w:cs="Times New Roman"/>
          <w:color w:val="auto"/>
          <w:kern w:val="0"/>
          <w:sz w:val="24"/>
          <w:szCs w:val="24"/>
        </w:rPr>
        <w:t>。</w:t>
      </w:r>
      <w:r>
        <w:rPr>
          <w:rFonts w:hint="default" w:ascii="Times New Roman" w:hAnsi="Times New Roman" w:cs="Times New Roman"/>
          <w:color w:val="auto"/>
          <w:sz w:val="24"/>
          <w:szCs w:val="24"/>
        </w:rPr>
        <w:t>（</w:t>
      </w:r>
      <w:r>
        <w:rPr>
          <w:rFonts w:hint="default" w:ascii="Times New Roman" w:hAnsi="Times New Roman" w:cs="Times New Roman"/>
          <w:bCs/>
          <w:color w:val="auto"/>
          <w:sz w:val="24"/>
          <w:szCs w:val="24"/>
        </w:rPr>
        <w:t>注意：请反复核对报名表上的联系方式，确保联系畅通！</w:t>
      </w:r>
      <w:r>
        <w:rPr>
          <w:rFonts w:hint="default" w:ascii="Times New Roman" w:hAnsi="Times New Roman" w:cs="Times New Roman"/>
          <w:color w:val="auto"/>
          <w:sz w:val="24"/>
          <w:szCs w:val="24"/>
        </w:rPr>
        <w:t>）</w:t>
      </w:r>
    </w:p>
    <w:p w14:paraId="277EEB38">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3.报名注意事项：</w:t>
      </w:r>
    </w:p>
    <w:p w14:paraId="19AC9BA1">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rPr>
      </w:pPr>
      <w:r>
        <w:rPr>
          <w:rFonts w:hint="eastAsia" w:ascii="宋体" w:hAnsi="宋体" w:eastAsia="宋体" w:cs="宋体"/>
          <w:color w:val="auto"/>
          <w:sz w:val="24"/>
          <w:szCs w:val="24"/>
        </w:rPr>
        <w:t>竞选人应仔细阅读和检查采购文件的全部内容。如发现缺页或附件不全，应及时提出，以便补齐。如有疑问，请在</w:t>
      </w:r>
      <w:r>
        <w:rPr>
          <w:rFonts w:hint="eastAsia" w:ascii="宋体" w:hAnsi="宋体" w:eastAsia="宋体" w:cs="宋体"/>
          <w:color w:val="auto"/>
          <w:sz w:val="24"/>
          <w:szCs w:val="24"/>
          <w:lang w:val="en-US" w:eastAsia="zh-CN"/>
        </w:rPr>
        <w:t>公告结束</w:t>
      </w:r>
      <w:r>
        <w:rPr>
          <w:rFonts w:hint="eastAsia" w:ascii="宋体" w:hAnsi="宋体" w:eastAsia="宋体" w:cs="宋体"/>
          <w:color w:val="auto"/>
          <w:sz w:val="24"/>
          <w:szCs w:val="24"/>
        </w:rPr>
        <w:t>前向采购人提出，超过此时间规定，采购人不再受理。</w:t>
      </w:r>
    </w:p>
    <w:p w14:paraId="0395FDAE">
      <w:pPr>
        <w:pStyle w:val="52"/>
        <w:spacing w:before="0" w:beforeAutospacing="0" w:after="0" w:afterAutospacing="0" w:line="400" w:lineRule="exact"/>
        <w:ind w:firstLine="480" w:firstLineChars="200"/>
        <w:jc w:val="both"/>
        <w:rPr>
          <w:rFonts w:hint="eastAsia" w:ascii="宋体" w:hAnsi="宋体" w:eastAsia="宋体" w:cs="宋体"/>
          <w:color w:val="auto"/>
          <w:sz w:val="24"/>
          <w:szCs w:val="24"/>
          <w:lang w:eastAsia="zh-CN"/>
        </w:rPr>
      </w:pPr>
      <w:r>
        <w:rPr>
          <w:rFonts w:hint="eastAsia" w:ascii="宋体" w:hAnsi="宋体" w:eastAsia="宋体" w:cs="宋体"/>
          <w:color w:val="auto"/>
          <w:sz w:val="24"/>
          <w:szCs w:val="24"/>
          <w:lang w:val="en-US" w:eastAsia="zh-CN"/>
        </w:rPr>
        <w:t>制作竞选文件时，“</w:t>
      </w:r>
      <w:r>
        <w:rPr>
          <w:rFonts w:hint="eastAsia" w:ascii="宋体" w:hAnsi="宋体" w:eastAsia="宋体" w:cs="宋体"/>
          <w:color w:val="auto"/>
          <w:sz w:val="24"/>
          <w:szCs w:val="24"/>
        </w:rPr>
        <w:t>开标现场最终报价表</w:t>
      </w:r>
      <w:r>
        <w:rPr>
          <w:rFonts w:hint="eastAsia" w:ascii="宋体" w:hAnsi="宋体" w:eastAsia="宋体" w:cs="宋体"/>
          <w:color w:val="auto"/>
          <w:sz w:val="24"/>
          <w:szCs w:val="24"/>
          <w:lang w:val="en-US" w:eastAsia="zh-CN"/>
        </w:rPr>
        <w:t>”</w:t>
      </w:r>
      <w:r>
        <w:rPr>
          <w:rFonts w:hint="default" w:ascii="宋体" w:hAnsi="宋体" w:eastAsia="宋体" w:cs="宋体"/>
          <w:color w:val="auto"/>
          <w:sz w:val="24"/>
          <w:szCs w:val="24"/>
          <w:lang w:val="en-US" w:eastAsia="zh-CN"/>
        </w:rPr>
        <w:t>须</w:t>
      </w:r>
      <w:bookmarkStart w:id="37" w:name="OLE_LINK4"/>
      <w:r>
        <w:rPr>
          <w:rFonts w:hint="default" w:ascii="宋体" w:hAnsi="宋体" w:eastAsia="宋体" w:cs="宋体"/>
          <w:color w:val="auto"/>
          <w:sz w:val="24"/>
          <w:szCs w:val="24"/>
        </w:rPr>
        <w:t>与报名时提交的“耗材报名表”的中载明的产品信息（含产品注册证名称、规格型号、顺序等）保持一致</w:t>
      </w:r>
      <w:bookmarkEnd w:id="37"/>
      <w:r>
        <w:rPr>
          <w:rFonts w:hint="eastAsia" w:ascii="宋体" w:hAnsi="宋体" w:eastAsia="宋体" w:cs="宋体"/>
          <w:color w:val="auto"/>
          <w:sz w:val="24"/>
          <w:szCs w:val="24"/>
          <w:lang w:eastAsia="zh-CN"/>
        </w:rPr>
        <w:t>。</w:t>
      </w:r>
      <w:r>
        <w:rPr>
          <w:rFonts w:hint="default" w:ascii="宋体" w:hAnsi="宋体" w:eastAsia="宋体" w:cs="宋体"/>
          <w:color w:val="auto"/>
          <w:sz w:val="24"/>
          <w:szCs w:val="24"/>
        </w:rPr>
        <w:t>“耗材报名表”填写时不得改变文档格式，所有标红项为必填项，若没有相关情况则写“无”</w:t>
      </w:r>
      <w:r>
        <w:rPr>
          <w:rFonts w:hint="eastAsia" w:ascii="宋体" w:hAnsi="宋体" w:eastAsia="宋体" w:cs="宋体"/>
          <w:color w:val="auto"/>
          <w:sz w:val="24"/>
          <w:szCs w:val="24"/>
          <w:lang w:eastAsia="zh-CN"/>
        </w:rPr>
        <w:t>。</w:t>
      </w:r>
    </w:p>
    <w:p w14:paraId="4D2178DB">
      <w:pPr>
        <w:widowControl/>
        <w:spacing w:line="400" w:lineRule="exact"/>
        <w:outlineLvl w:val="1"/>
        <w:rPr>
          <w:rFonts w:hint="eastAsia" w:ascii="宋体" w:hAnsi="宋体" w:cs="宋体"/>
          <w:b/>
          <w:color w:val="auto"/>
          <w:sz w:val="24"/>
        </w:rPr>
      </w:pPr>
      <w:bookmarkStart w:id="38" w:name="_Toc768"/>
      <w:bookmarkStart w:id="39" w:name="_Toc18950"/>
      <w:r>
        <w:rPr>
          <w:rFonts w:hint="eastAsia" w:ascii="宋体" w:hAnsi="宋体" w:cs="宋体"/>
          <w:b/>
          <w:color w:val="auto"/>
          <w:sz w:val="24"/>
        </w:rPr>
        <w:t>五、竞选文件递交与采购谈判时间、地点</w:t>
      </w:r>
      <w:bookmarkEnd w:id="38"/>
      <w:bookmarkEnd w:id="39"/>
    </w:p>
    <w:p w14:paraId="7DB1FEF7">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1.竞选文件递交截止时间：采购谈判时同时提交</w:t>
      </w:r>
    </w:p>
    <w:p w14:paraId="6B33AFBA">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 xml:space="preserve">2.采购谈判时间： </w:t>
      </w:r>
      <w:r>
        <w:rPr>
          <w:rFonts w:hint="eastAsia" w:ascii="宋体" w:hAnsi="宋体" w:eastAsia="宋体" w:cs="宋体"/>
          <w:color w:val="auto"/>
          <w:szCs w:val="24"/>
          <w:shd w:val="clear" w:color="auto" w:fill="FFFFFF"/>
        </w:rPr>
        <w:t>另行邮箱通知</w:t>
      </w:r>
    </w:p>
    <w:p w14:paraId="13576EF9">
      <w:pPr>
        <w:pStyle w:val="52"/>
        <w:spacing w:before="0" w:beforeAutospacing="0" w:after="0" w:afterAutospacing="0" w:line="400" w:lineRule="exact"/>
        <w:ind w:firstLine="480" w:firstLineChars="200"/>
        <w:jc w:val="both"/>
        <w:rPr>
          <w:rFonts w:hint="eastAsia" w:ascii="宋体" w:hAnsi="宋体" w:eastAsia="宋体" w:cs="宋体"/>
          <w:color w:val="auto"/>
          <w:szCs w:val="24"/>
        </w:rPr>
      </w:pPr>
      <w:r>
        <w:rPr>
          <w:rFonts w:hint="eastAsia" w:ascii="宋体" w:hAnsi="宋体" w:eastAsia="宋体" w:cs="宋体"/>
          <w:color w:val="auto"/>
          <w:szCs w:val="24"/>
        </w:rPr>
        <w:t>3.采购谈判地点：重庆医科大学附属第二医院都市方舟五楼采购管理处会议室（地址：重庆市渝中区临江路74号）</w:t>
      </w:r>
    </w:p>
    <w:p w14:paraId="5A106065">
      <w:pPr>
        <w:widowControl/>
        <w:spacing w:line="400" w:lineRule="exact"/>
        <w:outlineLvl w:val="1"/>
        <w:rPr>
          <w:rFonts w:hint="eastAsia" w:ascii="宋体" w:hAnsi="宋体" w:cs="宋体"/>
          <w:b/>
          <w:color w:val="auto"/>
          <w:sz w:val="24"/>
        </w:rPr>
      </w:pPr>
      <w:bookmarkStart w:id="40" w:name="_Toc829"/>
      <w:r>
        <w:rPr>
          <w:rFonts w:hint="eastAsia" w:ascii="宋体" w:hAnsi="宋体" w:cs="宋体"/>
          <w:b/>
          <w:color w:val="auto"/>
          <w:sz w:val="24"/>
        </w:rPr>
        <w:t>六、联系方式</w:t>
      </w:r>
      <w:bookmarkEnd w:id="34"/>
      <w:bookmarkEnd w:id="40"/>
    </w:p>
    <w:p w14:paraId="6098CA82">
      <w:pPr>
        <w:pStyle w:val="52"/>
        <w:spacing w:before="0" w:beforeAutospacing="0" w:after="0" w:afterAutospacing="0" w:line="400" w:lineRule="exact"/>
        <w:ind w:firstLine="480" w:firstLineChars="200"/>
        <w:jc w:val="both"/>
        <w:rPr>
          <w:rFonts w:ascii="宋体" w:hAnsi="宋体" w:eastAsia="宋体" w:cs="宋体"/>
          <w:color w:val="auto"/>
          <w:szCs w:val="24"/>
        </w:rPr>
      </w:pPr>
      <w:r>
        <w:rPr>
          <w:rFonts w:hint="eastAsia" w:ascii="宋体" w:hAnsi="宋体" w:eastAsia="宋体" w:cs="宋体"/>
          <w:color w:val="auto"/>
          <w:szCs w:val="24"/>
        </w:rPr>
        <w:t>项目联系人：</w:t>
      </w:r>
      <w:r>
        <w:rPr>
          <w:rFonts w:hint="eastAsia" w:ascii="宋体" w:hAnsi="宋体" w:eastAsia="宋体" w:cs="宋体"/>
          <w:color w:val="auto"/>
          <w:szCs w:val="24"/>
          <w:lang w:val="en-US" w:eastAsia="zh-CN"/>
        </w:rPr>
        <w:t>陈</w:t>
      </w:r>
      <w:r>
        <w:rPr>
          <w:rFonts w:hint="eastAsia" w:ascii="宋体" w:hAnsi="宋体" w:eastAsia="宋体" w:cs="宋体"/>
          <w:color w:val="auto"/>
          <w:szCs w:val="24"/>
        </w:rPr>
        <w:t>老师</w:t>
      </w:r>
    </w:p>
    <w:p w14:paraId="21DE014C">
      <w:pPr>
        <w:widowControl/>
        <w:spacing w:line="400" w:lineRule="exact"/>
        <w:ind w:firstLine="480" w:firstLineChars="200"/>
        <w:rPr>
          <w:rFonts w:hint="default" w:ascii="宋体" w:hAnsi="宋体" w:eastAsia="宋体" w:cs="宋体"/>
          <w:color w:val="auto"/>
          <w:sz w:val="24"/>
          <w:szCs w:val="24"/>
          <w:lang w:val="en-US" w:eastAsia="zh-CN"/>
        </w:rPr>
      </w:pPr>
      <w:bookmarkStart w:id="41" w:name="_Toc869"/>
      <w:r>
        <w:rPr>
          <w:rFonts w:hint="eastAsia" w:ascii="宋体" w:hAnsi="宋体" w:cs="宋体"/>
          <w:color w:val="auto"/>
          <w:sz w:val="24"/>
          <w:szCs w:val="24"/>
        </w:rPr>
        <w:t>项目联系人电话：</w:t>
      </w:r>
      <w:bookmarkEnd w:id="41"/>
      <w:r>
        <w:rPr>
          <w:rFonts w:hint="eastAsia" w:ascii="宋体" w:hAnsi="宋体" w:cs="宋体"/>
          <w:color w:val="auto"/>
          <w:sz w:val="24"/>
          <w:szCs w:val="24"/>
          <w:lang w:val="en-US" w:eastAsia="zh-CN"/>
        </w:rPr>
        <w:t>023-63693371</w:t>
      </w:r>
    </w:p>
    <w:bookmarkEnd w:id="30"/>
    <w:bookmarkEnd w:id="31"/>
    <w:bookmarkEnd w:id="32"/>
    <w:bookmarkEnd w:id="33"/>
    <w:p w14:paraId="07D059F7">
      <w:pPr>
        <w:tabs>
          <w:tab w:val="left" w:pos="3360"/>
        </w:tabs>
        <w:spacing w:line="360" w:lineRule="auto"/>
        <w:jc w:val="center"/>
        <w:outlineLvl w:val="0"/>
        <w:rPr>
          <w:rFonts w:hint="eastAsia" w:ascii="宋体" w:hAnsi="宋体" w:cs="宋体"/>
          <w:b/>
          <w:color w:val="auto"/>
          <w:szCs w:val="36"/>
        </w:rPr>
      </w:pPr>
      <w:r>
        <w:rPr>
          <w:rFonts w:hint="eastAsia" w:ascii="宋体" w:hAnsi="宋体" w:cs="宋体"/>
          <w:color w:val="auto"/>
        </w:rPr>
        <w:br w:type="page"/>
      </w:r>
      <w:bookmarkStart w:id="42" w:name="_Toc4033"/>
      <w:bookmarkStart w:id="43" w:name="_Toc9714"/>
      <w:bookmarkStart w:id="44" w:name="_Toc25272"/>
      <w:bookmarkStart w:id="45" w:name="_Toc76373872"/>
      <w:bookmarkStart w:id="46" w:name="_Toc14224"/>
      <w:bookmarkStart w:id="47" w:name="_Toc21905"/>
      <w:bookmarkStart w:id="48" w:name="_Toc20138"/>
      <w:r>
        <w:rPr>
          <w:rFonts w:hint="eastAsia" w:ascii="宋体" w:hAnsi="宋体" w:cs="宋体"/>
          <w:b/>
          <w:color w:val="auto"/>
          <w:szCs w:val="36"/>
        </w:rPr>
        <w:t xml:space="preserve">第二篇 </w:t>
      </w:r>
      <w:bookmarkEnd w:id="42"/>
      <w:bookmarkEnd w:id="43"/>
      <w:bookmarkEnd w:id="44"/>
      <w:bookmarkEnd w:id="45"/>
      <w:bookmarkEnd w:id="46"/>
      <w:r>
        <w:rPr>
          <w:rFonts w:hint="eastAsia" w:ascii="宋体" w:hAnsi="宋体" w:cs="宋体"/>
          <w:b/>
          <w:color w:val="auto"/>
          <w:szCs w:val="36"/>
        </w:rPr>
        <w:t>技术（质量）与商务需求</w:t>
      </w:r>
      <w:bookmarkEnd w:id="47"/>
      <w:bookmarkEnd w:id="48"/>
    </w:p>
    <w:p w14:paraId="26427D13">
      <w:pPr>
        <w:widowControl/>
        <w:spacing w:before="120" w:beforeLines="50" w:line="360" w:lineRule="exact"/>
        <w:outlineLvl w:val="1"/>
        <w:rPr>
          <w:rFonts w:hint="default"/>
          <w:lang w:val="en-US" w:eastAsia="zh-CN"/>
        </w:rPr>
      </w:pPr>
      <w:bookmarkStart w:id="49" w:name="_Toc32286"/>
      <w:r>
        <w:rPr>
          <w:rFonts w:hint="eastAsia" w:cs="宋体"/>
          <w:b/>
          <w:color w:val="auto"/>
          <w:sz w:val="24"/>
        </w:rPr>
        <w:t>一、</w:t>
      </w:r>
      <w:bookmarkStart w:id="50" w:name="_Toc2599"/>
      <w:bookmarkStart w:id="51" w:name="_Toc3153"/>
      <w:bookmarkStart w:id="52" w:name="_Toc11474"/>
      <w:bookmarkStart w:id="53" w:name="_Toc13391"/>
      <w:bookmarkStart w:id="54" w:name="_Toc76373874"/>
      <w:bookmarkStart w:id="55" w:name="_Toc27187"/>
      <w:bookmarkStart w:id="56" w:name="_Toc25148"/>
      <w:r>
        <w:rPr>
          <w:rFonts w:hint="eastAsia" w:cs="宋体"/>
          <w:b/>
          <w:color w:val="auto"/>
          <w:sz w:val="24"/>
        </w:rPr>
        <w:t>技术需求</w:t>
      </w:r>
      <w:bookmarkEnd w:id="50"/>
      <w:bookmarkEnd w:id="51"/>
      <w:bookmarkEnd w:id="52"/>
      <w:bookmarkEnd w:id="53"/>
      <w:bookmarkEnd w:id="54"/>
      <w:r>
        <w:rPr>
          <w:rFonts w:hint="eastAsia" w:cs="宋体"/>
          <w:b/>
          <w:color w:val="auto"/>
          <w:sz w:val="24"/>
        </w:rPr>
        <w:t>（含技术参数）</w:t>
      </w:r>
      <w:bookmarkEnd w:id="49"/>
      <w:bookmarkEnd w:id="55"/>
      <w:bookmarkEnd w:id="56"/>
      <w:bookmarkStart w:id="57" w:name="_Toc29620"/>
      <w:bookmarkStart w:id="58" w:name="_Toc29225"/>
      <w:bookmarkStart w:id="59" w:name="_Toc76373876"/>
      <w:bookmarkStart w:id="60" w:name="_Toc6355"/>
      <w:bookmarkStart w:id="61" w:name="_Toc30465"/>
      <w:bookmarkStart w:id="62" w:name="_Toc1955"/>
      <w:bookmarkStart w:id="63" w:name="_Toc13107"/>
    </w:p>
    <w:p w14:paraId="2A7A6426">
      <w:pPr>
        <w:spacing w:line="320" w:lineRule="exact"/>
        <w:ind w:left="479" w:leftChars="85" w:hanging="241" w:hangingChars="100"/>
        <w:jc w:val="left"/>
        <w:rPr>
          <w:rFonts w:hint="eastAsia" w:ascii="宋体" w:hAnsi="宋体" w:cs="宋体"/>
          <w:b/>
          <w:bCs/>
          <w:color w:val="auto"/>
          <w:sz w:val="24"/>
          <w:szCs w:val="24"/>
          <w:lang w:val="en-US" w:eastAsia="zh-CN"/>
        </w:rPr>
      </w:pPr>
      <w:r>
        <w:rPr>
          <w:rFonts w:hint="eastAsia" w:ascii="宋体" w:hAnsi="宋体" w:eastAsia="宋体" w:cs="宋体"/>
          <w:b/>
          <w:bCs/>
          <w:color w:val="auto"/>
          <w:sz w:val="24"/>
          <w:szCs w:val="24"/>
          <w:lang w:val="en-US" w:eastAsia="zh-CN"/>
        </w:rPr>
        <w:t>包</w:t>
      </w:r>
      <w:r>
        <w:rPr>
          <w:rFonts w:hint="eastAsia" w:ascii="宋体" w:hAnsi="宋体" w:cs="宋体"/>
          <w:b/>
          <w:bCs/>
          <w:color w:val="auto"/>
          <w:sz w:val="24"/>
          <w:szCs w:val="24"/>
          <w:lang w:val="en-US" w:eastAsia="zh-CN"/>
        </w:rPr>
        <w:t>1</w:t>
      </w:r>
    </w:p>
    <w:tbl>
      <w:tblPr>
        <w:tblStyle w:val="60"/>
        <w:tblW w:w="967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1"/>
        <w:gridCol w:w="1936"/>
        <w:gridCol w:w="7000"/>
      </w:tblGrid>
      <w:tr w14:paraId="2744F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741" w:type="dxa"/>
            <w:vAlign w:val="center"/>
          </w:tcPr>
          <w:p w14:paraId="4144D8B1">
            <w:pPr>
              <w:jc w:val="center"/>
              <w:rPr>
                <w:rFonts w:hint="default" w:ascii="Times New Roman" w:hAnsi="Times New Roman" w:eastAsia="宋体" w:cs="Times New Roman"/>
                <w:b/>
                <w:bCs/>
                <w:kern w:val="0"/>
                <w:sz w:val="20"/>
                <w:szCs w:val="21"/>
              </w:rPr>
            </w:pPr>
            <w:r>
              <w:rPr>
                <w:rFonts w:hint="default" w:ascii="Times New Roman" w:hAnsi="Times New Roman" w:eastAsia="宋体" w:cs="Times New Roman"/>
                <w:b/>
                <w:bCs/>
                <w:kern w:val="0"/>
                <w:sz w:val="20"/>
                <w:szCs w:val="21"/>
              </w:rPr>
              <w:t>序号</w:t>
            </w:r>
          </w:p>
        </w:tc>
        <w:tc>
          <w:tcPr>
            <w:tcW w:w="1936" w:type="dxa"/>
            <w:vAlign w:val="center"/>
          </w:tcPr>
          <w:p w14:paraId="0939D2F9">
            <w:pPr>
              <w:jc w:val="center"/>
              <w:rPr>
                <w:rFonts w:hint="default" w:ascii="Times New Roman" w:hAnsi="Times New Roman" w:eastAsia="宋体" w:cs="Times New Roman"/>
                <w:b/>
                <w:bCs/>
                <w:kern w:val="0"/>
                <w:sz w:val="20"/>
                <w:szCs w:val="21"/>
              </w:rPr>
            </w:pPr>
            <w:r>
              <w:rPr>
                <w:rFonts w:hint="default" w:ascii="Times New Roman" w:hAnsi="Times New Roman" w:eastAsia="宋体" w:cs="Times New Roman"/>
                <w:b/>
                <w:bCs/>
                <w:kern w:val="0"/>
                <w:sz w:val="20"/>
                <w:szCs w:val="21"/>
              </w:rPr>
              <w:t>耗材名称</w:t>
            </w:r>
          </w:p>
        </w:tc>
        <w:tc>
          <w:tcPr>
            <w:tcW w:w="7000" w:type="dxa"/>
            <w:vAlign w:val="center"/>
          </w:tcPr>
          <w:p w14:paraId="0A5F57AD">
            <w:pPr>
              <w:jc w:val="center"/>
              <w:rPr>
                <w:rFonts w:hint="default" w:ascii="Times New Roman" w:hAnsi="Times New Roman" w:eastAsia="宋体" w:cs="Times New Roman"/>
                <w:b/>
                <w:bCs/>
                <w:kern w:val="0"/>
                <w:sz w:val="20"/>
                <w:szCs w:val="21"/>
              </w:rPr>
            </w:pPr>
            <w:r>
              <w:rPr>
                <w:rFonts w:hint="default" w:ascii="Times New Roman" w:hAnsi="Times New Roman" w:eastAsia="宋体" w:cs="Times New Roman"/>
                <w:b/>
                <w:bCs/>
                <w:kern w:val="0"/>
                <w:sz w:val="20"/>
                <w:szCs w:val="21"/>
              </w:rPr>
              <w:t>功能简介及参数</w:t>
            </w:r>
          </w:p>
        </w:tc>
      </w:tr>
      <w:tr w14:paraId="1BB231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 w:hRule="atLeast"/>
        </w:trPr>
        <w:tc>
          <w:tcPr>
            <w:tcW w:w="741" w:type="dxa"/>
            <w:vAlign w:val="center"/>
          </w:tcPr>
          <w:p w14:paraId="1BAA33A1">
            <w:pPr>
              <w:widowControl/>
              <w:jc w:val="center"/>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1</w:t>
            </w:r>
          </w:p>
        </w:tc>
        <w:tc>
          <w:tcPr>
            <w:tcW w:w="1936" w:type="dxa"/>
            <w:vAlign w:val="center"/>
          </w:tcPr>
          <w:p w14:paraId="6B8B75C9">
            <w:pPr>
              <w:rPr>
                <w:rFonts w:hint="default" w:ascii="Times New Roman" w:hAnsi="Times New Roman" w:eastAsia="宋体" w:cs="Times New Roman"/>
                <w:color w:val="000000"/>
                <w:kern w:val="0"/>
                <w:sz w:val="20"/>
                <w:szCs w:val="21"/>
              </w:rPr>
            </w:pPr>
            <w:r>
              <w:rPr>
                <w:rFonts w:hint="default" w:ascii="Times New Roman" w:hAnsi="Times New Roman" w:eastAsia="宋体" w:cs="Times New Roman"/>
                <w:color w:val="000000"/>
                <w:kern w:val="0"/>
                <w:sz w:val="20"/>
                <w:szCs w:val="21"/>
              </w:rPr>
              <w:t>MPN/CNL相关基因突变检测（JAK2/CALR/MPL/CSF3R）</w:t>
            </w:r>
          </w:p>
        </w:tc>
        <w:tc>
          <w:tcPr>
            <w:tcW w:w="7000" w:type="dxa"/>
            <w:vAlign w:val="center"/>
          </w:tcPr>
          <w:p w14:paraId="6032991A">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1.用途/检测范围：该检测聚焦于骨髓增殖性肿瘤（MPN）及慢性中性粒细胞白血病（CNL）相关的4种核心驱动基因（JAK2、CALR、MPL、CSF3R），依据WHO及NCCN指南，用于BCR-ABL1阴性MPN（真性红细胞增多症、原发性血小板增多症、原发性骨髓纤维化）及CNL的分子分型诊断、预后评估及JAK抑制剂靶向治疗指导。</w:t>
            </w:r>
            <w:r>
              <w:rPr>
                <w:rFonts w:hint="default" w:ascii="Times New Roman" w:hAnsi="Times New Roman" w:eastAsia="宋体" w:cs="Times New Roman"/>
                <w:color w:val="000000"/>
                <w:kern w:val="0"/>
                <w:sz w:val="20"/>
                <w:szCs w:val="21"/>
                <w:lang w:bidi="ar"/>
              </w:rPr>
              <w:br w:type="textWrapping"/>
            </w:r>
            <w:r>
              <w:rPr>
                <w:rFonts w:hint="default" w:ascii="Times New Roman" w:hAnsi="Times New Roman" w:eastAsia="宋体" w:cs="Times New Roman"/>
                <w:color w:val="000000"/>
                <w:kern w:val="0"/>
                <w:sz w:val="20"/>
                <w:szCs w:val="21"/>
                <w:lang w:bidi="ar"/>
              </w:rPr>
              <w:t>2.检测样本类型：骨髓/外周血。</w:t>
            </w:r>
            <w:r>
              <w:rPr>
                <w:rFonts w:hint="default" w:ascii="Times New Roman" w:hAnsi="Times New Roman" w:eastAsia="宋体" w:cs="Times New Roman"/>
                <w:color w:val="000000"/>
                <w:kern w:val="0"/>
                <w:sz w:val="20"/>
                <w:szCs w:val="21"/>
                <w:lang w:bidi="ar"/>
              </w:rPr>
              <w:br w:type="textWrapping"/>
            </w:r>
            <w:r>
              <w:rPr>
                <w:rFonts w:hint="default" w:ascii="Times New Roman" w:hAnsi="Times New Roman" w:eastAsia="宋体" w:cs="Times New Roman"/>
                <w:color w:val="000000"/>
                <w:kern w:val="0"/>
                <w:sz w:val="20"/>
                <w:szCs w:val="21"/>
                <w:lang w:bidi="ar"/>
              </w:rPr>
              <w:t>3.方法学：基于Sanger平台。</w:t>
            </w:r>
            <w:r>
              <w:rPr>
                <w:rFonts w:hint="default" w:ascii="Times New Roman" w:hAnsi="Times New Roman" w:eastAsia="宋体" w:cs="Times New Roman"/>
                <w:color w:val="000000"/>
                <w:kern w:val="0"/>
                <w:sz w:val="20"/>
                <w:szCs w:val="21"/>
                <w:lang w:bidi="ar"/>
              </w:rPr>
              <w:br w:type="textWrapping"/>
            </w:r>
            <w:r>
              <w:rPr>
                <w:rFonts w:hint="default" w:ascii="Times New Roman" w:hAnsi="Times New Roman" w:eastAsia="宋体" w:cs="Times New Roman"/>
                <w:color w:val="000000"/>
                <w:kern w:val="0"/>
                <w:sz w:val="20"/>
                <w:szCs w:val="21"/>
                <w:lang w:bidi="ar"/>
              </w:rPr>
              <w:t>4.试剂须具备医疗器械注册证或备案凭证。</w:t>
            </w:r>
          </w:p>
          <w:p w14:paraId="102868AB">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1"/>
                <w:lang w:bidi="ar"/>
              </w:rPr>
              <w:t>5.</w:t>
            </w:r>
            <w:r>
              <w:rPr>
                <w:rFonts w:hint="default" w:ascii="Times New Roman" w:hAnsi="Times New Roman" w:eastAsia="宋体" w:cs="Times New Roman"/>
                <w:kern w:val="0"/>
                <w:sz w:val="20"/>
                <w:szCs w:val="24"/>
              </w:rPr>
              <w:t xml:space="preserve"> 能本地检验，分析系统能部署在院内指定服务器。</w:t>
            </w:r>
          </w:p>
          <w:p w14:paraId="79442303">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4"/>
                <w:lang w:bidi="ar"/>
              </w:rPr>
              <w:t>6</w:t>
            </w:r>
            <w:r>
              <w:rPr>
                <w:rFonts w:hint="default" w:ascii="Times New Roman" w:hAnsi="Times New Roman" w:eastAsia="宋体" w:cs="Times New Roman"/>
                <w:color w:val="000000"/>
                <w:kern w:val="0"/>
                <w:sz w:val="20"/>
                <w:szCs w:val="21"/>
                <w:lang w:bidi="ar"/>
              </w:rPr>
              <w:t>.</w:t>
            </w:r>
            <w:r>
              <w:rPr>
                <w:rFonts w:hint="default" w:ascii="Times New Roman" w:hAnsi="Times New Roman" w:eastAsia="宋体" w:cs="Times New Roman"/>
                <w:kern w:val="0"/>
                <w:sz w:val="20"/>
                <w:szCs w:val="24"/>
              </w:rPr>
              <w:t>需具备临床检测相关资质，若遇院内仪器故障，可协助提供检测服务。</w:t>
            </w:r>
          </w:p>
          <w:p w14:paraId="46002173">
            <w:pPr>
              <w:rPr>
                <w:rFonts w:hint="default" w:ascii="Times New Roman" w:hAnsi="Times New Roman" w:eastAsia="宋体" w:cs="Times New Roman"/>
                <w:kern w:val="0"/>
                <w:sz w:val="20"/>
                <w:szCs w:val="24"/>
              </w:rPr>
            </w:pPr>
            <w:r>
              <w:rPr>
                <w:rFonts w:hint="default" w:ascii="Times New Roman" w:hAnsi="Times New Roman" w:eastAsia="宋体" w:cs="Times New Roman"/>
                <w:kern w:val="0"/>
                <w:sz w:val="20"/>
                <w:szCs w:val="24"/>
              </w:rPr>
              <w:t>7.</w:t>
            </w:r>
            <w:r>
              <w:rPr>
                <w:rFonts w:hint="default" w:ascii="Times New Roman" w:hAnsi="Times New Roman" w:eastAsia="宋体" w:cs="Times New Roman"/>
                <w:kern w:val="0"/>
                <w:sz w:val="20"/>
                <w:szCs w:val="20"/>
              </w:rPr>
              <w:t>对应</w:t>
            </w:r>
            <w:r>
              <w:rPr>
                <w:rFonts w:hint="default" w:ascii="Times New Roman" w:hAnsi="Times New Roman" w:eastAsia="宋体" w:cs="Times New Roman"/>
                <w:kern w:val="0"/>
                <w:sz w:val="20"/>
                <w:szCs w:val="24"/>
              </w:rPr>
              <w:t>试剂盒有效期不低于12个月。</w:t>
            </w:r>
          </w:p>
        </w:tc>
      </w:tr>
      <w:tr w14:paraId="2C6A11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741" w:type="dxa"/>
            <w:vAlign w:val="center"/>
          </w:tcPr>
          <w:p w14:paraId="1E231908">
            <w:pPr>
              <w:widowControl/>
              <w:jc w:val="center"/>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2</w:t>
            </w:r>
          </w:p>
        </w:tc>
        <w:tc>
          <w:tcPr>
            <w:tcW w:w="1936" w:type="dxa"/>
            <w:vAlign w:val="center"/>
          </w:tcPr>
          <w:p w14:paraId="43840D97">
            <w:pPr>
              <w:rPr>
                <w:rFonts w:hint="default" w:ascii="Times New Roman" w:hAnsi="Times New Roman" w:eastAsia="宋体" w:cs="Times New Roman"/>
                <w:color w:val="000000"/>
                <w:kern w:val="0"/>
                <w:sz w:val="20"/>
                <w:szCs w:val="21"/>
              </w:rPr>
            </w:pPr>
            <w:r>
              <w:rPr>
                <w:rFonts w:hint="default" w:ascii="Times New Roman" w:hAnsi="Times New Roman" w:eastAsia="宋体" w:cs="Times New Roman"/>
                <w:color w:val="000000"/>
                <w:kern w:val="0"/>
                <w:sz w:val="20"/>
                <w:szCs w:val="21"/>
              </w:rPr>
              <w:t>髓系肿瘤相关基因突变检测</w:t>
            </w:r>
          </w:p>
        </w:tc>
        <w:tc>
          <w:tcPr>
            <w:tcW w:w="7000" w:type="dxa"/>
            <w:vAlign w:val="center"/>
          </w:tcPr>
          <w:p w14:paraId="3C0A30D9">
            <w:pPr>
              <w:widowControl/>
              <w:numPr>
                <w:ilvl w:val="0"/>
                <w:numId w:val="1"/>
              </w:numPr>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用途/检测范围：应用二代测序靶向捕获技术， 对MPN/AML/MDS/CMML等200+髓系血液疾病相关的多个核心基因的全部外显子区域及附近+10 bp内含子区域进行检测， 可一次性获得多个核心目标区域的点突变， 插入/缺失和剪切位点突变情况。</w:t>
            </w:r>
          </w:p>
          <w:p w14:paraId="6E00CA3F">
            <w:pPr>
              <w:widowControl/>
              <w:numPr>
                <w:ilvl w:val="0"/>
                <w:numId w:val="1"/>
              </w:numPr>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检测样本类型：骨髓/外周血。</w:t>
            </w:r>
          </w:p>
          <w:p w14:paraId="2F5BD5CA">
            <w:pPr>
              <w:widowControl/>
              <w:numPr>
                <w:ilvl w:val="0"/>
                <w:numId w:val="1"/>
              </w:numPr>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方法学：基于高通量测序（NGS）。</w:t>
            </w:r>
          </w:p>
          <w:p w14:paraId="71256672">
            <w:pPr>
              <w:widowControl/>
              <w:numPr>
                <w:ilvl w:val="0"/>
                <w:numId w:val="1"/>
              </w:numPr>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试剂须具备医疗器械注册证或备案凭证。</w:t>
            </w:r>
          </w:p>
          <w:p w14:paraId="42D808DE">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1"/>
                <w:lang w:bidi="ar"/>
              </w:rPr>
              <w:t>5.</w:t>
            </w:r>
            <w:r>
              <w:rPr>
                <w:rFonts w:hint="default" w:ascii="Times New Roman" w:hAnsi="Times New Roman" w:eastAsia="宋体" w:cs="Times New Roman"/>
                <w:kern w:val="0"/>
                <w:sz w:val="20"/>
                <w:szCs w:val="24"/>
              </w:rPr>
              <w:t xml:space="preserve"> 能本地检验，分析系统能部署在院内指定服务器。</w:t>
            </w:r>
          </w:p>
          <w:p w14:paraId="74D90463">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4"/>
                <w:lang w:bidi="ar"/>
              </w:rPr>
              <w:t>6</w:t>
            </w:r>
            <w:r>
              <w:rPr>
                <w:rFonts w:hint="default" w:ascii="Times New Roman" w:hAnsi="Times New Roman" w:eastAsia="宋体" w:cs="Times New Roman"/>
                <w:color w:val="000000"/>
                <w:kern w:val="0"/>
                <w:sz w:val="20"/>
                <w:szCs w:val="21"/>
                <w:lang w:bidi="ar"/>
              </w:rPr>
              <w:t>.</w:t>
            </w:r>
            <w:r>
              <w:rPr>
                <w:rFonts w:hint="default" w:ascii="Times New Roman" w:hAnsi="Times New Roman" w:eastAsia="宋体" w:cs="Times New Roman"/>
                <w:kern w:val="0"/>
                <w:sz w:val="20"/>
                <w:szCs w:val="24"/>
              </w:rPr>
              <w:t>需具备临床检测相关资质，若遇院内仪器故障，可协助提供检测服务。</w:t>
            </w:r>
          </w:p>
          <w:p w14:paraId="448A3EB4">
            <w:pPr>
              <w:rPr>
                <w:rFonts w:hint="default" w:ascii="Times New Roman" w:hAnsi="Times New Roman" w:eastAsia="宋体" w:cs="Times New Roman"/>
                <w:kern w:val="0"/>
                <w:sz w:val="20"/>
                <w:szCs w:val="24"/>
              </w:rPr>
            </w:pPr>
            <w:r>
              <w:rPr>
                <w:rFonts w:hint="default" w:ascii="Times New Roman" w:hAnsi="Times New Roman" w:eastAsia="宋体" w:cs="Times New Roman"/>
                <w:kern w:val="0"/>
                <w:sz w:val="20"/>
                <w:szCs w:val="24"/>
              </w:rPr>
              <w:t>7.</w:t>
            </w:r>
            <w:r>
              <w:rPr>
                <w:rFonts w:hint="default" w:ascii="Times New Roman" w:hAnsi="Times New Roman" w:eastAsia="宋体" w:cs="Times New Roman"/>
                <w:kern w:val="0"/>
                <w:sz w:val="20"/>
                <w:szCs w:val="20"/>
              </w:rPr>
              <w:t xml:space="preserve"> </w:t>
            </w:r>
            <w:r>
              <w:rPr>
                <w:rFonts w:hint="default" w:ascii="Times New Roman" w:hAnsi="Times New Roman" w:eastAsia="宋体" w:cs="Times New Roman"/>
                <w:kern w:val="0"/>
                <w:sz w:val="20"/>
                <w:szCs w:val="24"/>
              </w:rPr>
              <w:t>DNA最低投入量≥250ng即可进行建库，要求平均覆盖深度≥2000X。</w:t>
            </w:r>
          </w:p>
          <w:p w14:paraId="0694593C">
            <w:pPr>
              <w:rPr>
                <w:rFonts w:hint="default" w:ascii="Times New Roman" w:hAnsi="Times New Roman" w:eastAsia="宋体" w:cs="Times New Roman"/>
                <w:kern w:val="0"/>
                <w:sz w:val="20"/>
                <w:szCs w:val="24"/>
              </w:rPr>
            </w:pPr>
            <w:r>
              <w:rPr>
                <w:rFonts w:hint="default" w:ascii="Times New Roman" w:hAnsi="Times New Roman" w:eastAsia="宋体" w:cs="Times New Roman"/>
                <w:kern w:val="0"/>
                <w:sz w:val="20"/>
                <w:szCs w:val="24"/>
              </w:rPr>
              <w:t>8.点突变频率不低于1%，小片段插入缺失突变不低于3%，结果应检出试剂盒检测基因范围内所包含的基因突变型别。</w:t>
            </w:r>
          </w:p>
          <w:p w14:paraId="042FFE1C">
            <w:pPr>
              <w:rPr>
                <w:rFonts w:hint="default" w:ascii="Times New Roman" w:hAnsi="Times New Roman" w:eastAsia="宋体" w:cs="Times New Roman"/>
                <w:kern w:val="0"/>
                <w:sz w:val="20"/>
                <w:szCs w:val="24"/>
              </w:rPr>
            </w:pPr>
            <w:r>
              <w:rPr>
                <w:rFonts w:hint="default" w:ascii="Times New Roman" w:hAnsi="Times New Roman" w:eastAsia="宋体" w:cs="Times New Roman"/>
                <w:kern w:val="0"/>
                <w:sz w:val="20"/>
                <w:szCs w:val="24"/>
              </w:rPr>
              <w:t>9.对应试剂盒有效期不低于12个月。</w:t>
            </w:r>
          </w:p>
        </w:tc>
      </w:tr>
      <w:tr w14:paraId="5612A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741" w:type="dxa"/>
            <w:vAlign w:val="center"/>
          </w:tcPr>
          <w:p w14:paraId="7C37E4DD">
            <w:pPr>
              <w:widowControl/>
              <w:jc w:val="center"/>
              <w:textAlignment w:val="center"/>
              <w:rPr>
                <w:rFonts w:hint="default" w:ascii="Times New Roman" w:hAnsi="Times New Roman" w:eastAsia="宋体" w:cs="Times New Roman"/>
                <w:kern w:val="0"/>
                <w:sz w:val="20"/>
                <w:szCs w:val="21"/>
              </w:rPr>
            </w:pPr>
            <w:r>
              <w:rPr>
                <w:rFonts w:hint="default" w:ascii="Times New Roman" w:hAnsi="Times New Roman" w:eastAsia="宋体" w:cs="Times New Roman"/>
                <w:color w:val="000000"/>
                <w:kern w:val="0"/>
                <w:sz w:val="20"/>
                <w:szCs w:val="21"/>
                <w:lang w:bidi="ar"/>
              </w:rPr>
              <w:t>3</w:t>
            </w:r>
          </w:p>
        </w:tc>
        <w:tc>
          <w:tcPr>
            <w:tcW w:w="1936" w:type="dxa"/>
            <w:vAlign w:val="center"/>
          </w:tcPr>
          <w:p w14:paraId="0753E4A1">
            <w:pPr>
              <w:rPr>
                <w:rFonts w:hint="default" w:ascii="Times New Roman" w:hAnsi="Times New Roman" w:eastAsia="宋体" w:cs="Times New Roman"/>
                <w:color w:val="000000"/>
                <w:kern w:val="0"/>
                <w:sz w:val="20"/>
                <w:szCs w:val="21"/>
              </w:rPr>
            </w:pPr>
            <w:r>
              <w:rPr>
                <w:rFonts w:hint="default" w:ascii="Times New Roman" w:hAnsi="Times New Roman" w:eastAsia="宋体" w:cs="Times New Roman"/>
                <w:color w:val="000000"/>
                <w:kern w:val="0"/>
                <w:sz w:val="20"/>
                <w:szCs w:val="21"/>
              </w:rPr>
              <w:t>髓系肿瘤融合基因检测</w:t>
            </w:r>
          </w:p>
        </w:tc>
        <w:tc>
          <w:tcPr>
            <w:tcW w:w="7000" w:type="dxa"/>
            <w:vAlign w:val="center"/>
          </w:tcPr>
          <w:p w14:paraId="3876AF28">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1.用途/检测范围：通过多重荧光定量PCR结合Taqman探针技术对AML、MDS、其他混合细胞型白血病以及未明确分型的白血病相关的74种融合基因同时进行定性检测。</w:t>
            </w:r>
          </w:p>
          <w:p w14:paraId="3C2A73FD">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2.检测样本类型：骨髓/外周血。</w:t>
            </w:r>
          </w:p>
          <w:p w14:paraId="43B07E50">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3.方法学：PCR-荧光探针法。</w:t>
            </w:r>
          </w:p>
          <w:p w14:paraId="64EA8EE3">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4.试剂须具备医疗器械注册证或备案凭证。</w:t>
            </w:r>
          </w:p>
          <w:p w14:paraId="157893C7">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1"/>
                <w:lang w:bidi="ar"/>
              </w:rPr>
              <w:t>5.</w:t>
            </w:r>
            <w:r>
              <w:rPr>
                <w:rFonts w:hint="default" w:ascii="Times New Roman" w:hAnsi="Times New Roman" w:eastAsia="宋体" w:cs="Times New Roman"/>
                <w:kern w:val="0"/>
                <w:sz w:val="20"/>
                <w:szCs w:val="24"/>
              </w:rPr>
              <w:t xml:space="preserve"> 能本地检验，分析系统能部署在院内指定服务器。</w:t>
            </w:r>
          </w:p>
          <w:p w14:paraId="4DC9EFB1">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4"/>
                <w:lang w:bidi="ar"/>
              </w:rPr>
              <w:t>6</w:t>
            </w:r>
            <w:r>
              <w:rPr>
                <w:rFonts w:hint="default" w:ascii="Times New Roman" w:hAnsi="Times New Roman" w:eastAsia="宋体" w:cs="Times New Roman"/>
                <w:color w:val="000000"/>
                <w:kern w:val="0"/>
                <w:sz w:val="20"/>
                <w:szCs w:val="21"/>
                <w:lang w:bidi="ar"/>
              </w:rPr>
              <w:t>.</w:t>
            </w:r>
            <w:r>
              <w:rPr>
                <w:rFonts w:hint="default" w:ascii="Times New Roman" w:hAnsi="Times New Roman" w:eastAsia="宋体" w:cs="Times New Roman"/>
                <w:kern w:val="0"/>
                <w:sz w:val="20"/>
                <w:szCs w:val="24"/>
              </w:rPr>
              <w:t>需具备临床检测相关资质，若遇院内仪器故障，可协助提供检测服务。</w:t>
            </w:r>
          </w:p>
          <w:p w14:paraId="56FD2E32">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7.检测下限或突变频率范围：需完全满足至少74种融合基因以及相应的融合型，且融合基因检测灵敏度为 1000 copies/反应</w:t>
            </w:r>
          </w:p>
          <w:p w14:paraId="49E20649">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8.对应试剂盒有效期12个月</w:t>
            </w:r>
          </w:p>
        </w:tc>
      </w:tr>
      <w:tr w14:paraId="670364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741" w:type="dxa"/>
            <w:vAlign w:val="center"/>
          </w:tcPr>
          <w:p w14:paraId="25A704E3">
            <w:pPr>
              <w:widowControl/>
              <w:jc w:val="center"/>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4</w:t>
            </w:r>
          </w:p>
        </w:tc>
        <w:tc>
          <w:tcPr>
            <w:tcW w:w="1936" w:type="dxa"/>
            <w:vAlign w:val="center"/>
          </w:tcPr>
          <w:p w14:paraId="13733D41">
            <w:pPr>
              <w:rPr>
                <w:rFonts w:hint="default" w:ascii="Times New Roman" w:hAnsi="Times New Roman" w:eastAsia="宋体" w:cs="Times New Roman"/>
                <w:color w:val="000000"/>
                <w:kern w:val="0"/>
                <w:sz w:val="20"/>
                <w:szCs w:val="21"/>
              </w:rPr>
            </w:pPr>
            <w:r>
              <w:rPr>
                <w:rFonts w:hint="default" w:ascii="Times New Roman" w:hAnsi="Times New Roman" w:eastAsia="宋体" w:cs="Times New Roman"/>
                <w:color w:val="000000"/>
                <w:kern w:val="0"/>
                <w:sz w:val="20"/>
                <w:szCs w:val="21"/>
              </w:rPr>
              <w:t>HE融合基因定性检测</w:t>
            </w:r>
          </w:p>
        </w:tc>
        <w:tc>
          <w:tcPr>
            <w:tcW w:w="7000" w:type="dxa"/>
            <w:vAlign w:val="center"/>
          </w:tcPr>
          <w:p w14:paraId="47019059">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1.用途/检测范围：定性检测</w:t>
            </w:r>
            <w:r>
              <w:rPr>
                <w:rFonts w:hint="default" w:ascii="Times New Roman" w:hAnsi="Times New Roman" w:eastAsia="宋体" w:cs="Times New Roman"/>
                <w:color w:val="000000" w:themeColor="text1"/>
                <w:kern w:val="0"/>
                <w:sz w:val="20"/>
                <w:szCs w:val="21"/>
                <w:lang w:bidi="ar"/>
                <w14:textFill>
                  <w14:solidFill>
                    <w14:schemeClr w14:val="tx1"/>
                  </w14:solidFill>
                </w14:textFill>
              </w:rPr>
              <w:t>十种HE融合</w:t>
            </w:r>
            <w:r>
              <w:rPr>
                <w:rFonts w:hint="default" w:ascii="Times New Roman" w:hAnsi="Times New Roman" w:eastAsia="宋体" w:cs="Times New Roman"/>
                <w:color w:val="000000"/>
                <w:kern w:val="0"/>
                <w:sz w:val="20"/>
                <w:szCs w:val="21"/>
                <w:lang w:bidi="ar"/>
              </w:rPr>
              <w:t>基因，助力嗜酸性粒细胞增多病因鉴别。</w:t>
            </w:r>
          </w:p>
          <w:p w14:paraId="220B86D8">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2.检测样本类型：骨髓/外周血。</w:t>
            </w:r>
          </w:p>
          <w:p w14:paraId="2F40BE26">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3.方法学：PCR-荧光探针法。</w:t>
            </w:r>
          </w:p>
          <w:p w14:paraId="61CB7BB0">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4.试剂须具备医疗器械注册证或备案凭证。</w:t>
            </w:r>
          </w:p>
          <w:p w14:paraId="5654FE81">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1"/>
                <w:lang w:bidi="ar"/>
              </w:rPr>
              <w:t>5.</w:t>
            </w:r>
            <w:r>
              <w:rPr>
                <w:rFonts w:hint="default" w:ascii="Times New Roman" w:hAnsi="Times New Roman" w:eastAsia="宋体" w:cs="Times New Roman"/>
                <w:kern w:val="0"/>
                <w:sz w:val="20"/>
                <w:szCs w:val="24"/>
              </w:rPr>
              <w:t xml:space="preserve"> 能本地检验，分析系统能部署在院内指定服务器。</w:t>
            </w:r>
          </w:p>
          <w:p w14:paraId="15B48677">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4"/>
                <w:lang w:bidi="ar"/>
              </w:rPr>
              <w:t>6</w:t>
            </w:r>
            <w:r>
              <w:rPr>
                <w:rFonts w:hint="default" w:ascii="Times New Roman" w:hAnsi="Times New Roman" w:eastAsia="宋体" w:cs="Times New Roman"/>
                <w:color w:val="000000"/>
                <w:kern w:val="0"/>
                <w:sz w:val="20"/>
                <w:szCs w:val="21"/>
                <w:lang w:bidi="ar"/>
              </w:rPr>
              <w:t>.</w:t>
            </w:r>
            <w:r>
              <w:rPr>
                <w:rFonts w:hint="default" w:ascii="Times New Roman" w:hAnsi="Times New Roman" w:eastAsia="宋体" w:cs="Times New Roman"/>
                <w:kern w:val="0"/>
                <w:sz w:val="20"/>
                <w:szCs w:val="24"/>
              </w:rPr>
              <w:t>需具备临床检测相关资质，若遇院内仪器故障，可协助提供检测服务。</w:t>
            </w:r>
          </w:p>
          <w:p w14:paraId="49973069">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7.检测下限或突变频率范围：需完全满足至少</w:t>
            </w:r>
            <w:r>
              <w:rPr>
                <w:rFonts w:hint="default" w:ascii="Times New Roman" w:hAnsi="Times New Roman" w:eastAsia="宋体" w:cs="Times New Roman"/>
                <w:color w:val="000000" w:themeColor="text1"/>
                <w:kern w:val="0"/>
                <w:sz w:val="20"/>
                <w:szCs w:val="21"/>
                <w:lang w:bidi="ar"/>
                <w14:textFill>
                  <w14:solidFill>
                    <w14:schemeClr w14:val="tx1"/>
                  </w14:solidFill>
                </w14:textFill>
              </w:rPr>
              <w:t>10种融合</w:t>
            </w:r>
            <w:r>
              <w:rPr>
                <w:rFonts w:hint="default" w:ascii="Times New Roman" w:hAnsi="Times New Roman" w:eastAsia="宋体" w:cs="Times New Roman"/>
                <w:color w:val="000000"/>
                <w:kern w:val="0"/>
                <w:sz w:val="20"/>
                <w:szCs w:val="21"/>
                <w:lang w:bidi="ar"/>
              </w:rPr>
              <w:t>基因以及相应的融合型，且融合基因检测灵敏度为 1000 copies/反应</w:t>
            </w:r>
          </w:p>
          <w:p w14:paraId="48291A4A">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8.对应试剂盒有效期12个月</w:t>
            </w:r>
          </w:p>
        </w:tc>
      </w:tr>
      <w:tr w14:paraId="3BFB7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741" w:type="dxa"/>
            <w:vAlign w:val="center"/>
          </w:tcPr>
          <w:p w14:paraId="0824207A">
            <w:pPr>
              <w:widowControl/>
              <w:jc w:val="center"/>
              <w:textAlignment w:val="center"/>
              <w:rPr>
                <w:rFonts w:hint="default" w:ascii="Times New Roman" w:hAnsi="Times New Roman" w:eastAsia="宋体" w:cs="Times New Roman"/>
                <w:kern w:val="0"/>
                <w:sz w:val="20"/>
                <w:szCs w:val="21"/>
              </w:rPr>
            </w:pPr>
            <w:r>
              <w:rPr>
                <w:rFonts w:hint="default" w:ascii="Times New Roman" w:hAnsi="Times New Roman" w:eastAsia="宋体" w:cs="Times New Roman"/>
                <w:color w:val="000000"/>
                <w:kern w:val="0"/>
                <w:sz w:val="20"/>
                <w:szCs w:val="21"/>
                <w:lang w:bidi="ar"/>
              </w:rPr>
              <w:t>5</w:t>
            </w:r>
          </w:p>
        </w:tc>
        <w:tc>
          <w:tcPr>
            <w:tcW w:w="1936" w:type="dxa"/>
            <w:vAlign w:val="center"/>
          </w:tcPr>
          <w:p w14:paraId="6CFE926D">
            <w:pPr>
              <w:rPr>
                <w:rFonts w:hint="default" w:ascii="Times New Roman" w:hAnsi="Times New Roman" w:eastAsia="宋体" w:cs="Times New Roman"/>
                <w:color w:val="000000"/>
                <w:kern w:val="0"/>
                <w:sz w:val="20"/>
                <w:szCs w:val="21"/>
              </w:rPr>
            </w:pPr>
            <w:r>
              <w:rPr>
                <w:rFonts w:hint="default" w:ascii="Times New Roman" w:hAnsi="Times New Roman" w:eastAsia="宋体" w:cs="Times New Roman"/>
                <w:color w:val="000000"/>
                <w:kern w:val="0"/>
                <w:sz w:val="20"/>
                <w:szCs w:val="21"/>
              </w:rPr>
              <w:t>淋巴瘤相关基因突变检测</w:t>
            </w:r>
          </w:p>
        </w:tc>
        <w:tc>
          <w:tcPr>
            <w:tcW w:w="7000" w:type="dxa"/>
            <w:vAlign w:val="center"/>
          </w:tcPr>
          <w:p w14:paraId="7D4462F2">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1.用途/检测范围：该检测覆盖与B细胞淋巴瘤诊疗相关的216个基因的全部外显子区域及附近+10 bp内含子区域，包括NF-κB通路（MYD88、CARD11、CD79A/B）、表观调控（KMT2D、CREBBP、EP300、EZH2）、JAK-STAT通路（STAT3/5B、SOCS1）及凋亡相关基因（BCL2、TP53）等核心基因。依据WHO分类及NCCN指南，用于弥漫大B细胞淋巴瘤、滤泡淋巴瘤、套细胞淋巴瘤等B-NHL的分子分型（如MCD/EZB亚型）、预后评估及靶向/免疫治疗指导。</w:t>
            </w:r>
          </w:p>
          <w:p w14:paraId="4394C7CA">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2.检测样本类型：骨髓/外周血/组织。</w:t>
            </w:r>
          </w:p>
          <w:p w14:paraId="3DC15D2F">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3.方法学：基于高通量测序（NGS）。</w:t>
            </w:r>
          </w:p>
          <w:p w14:paraId="3E20B4E2">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4.试剂须具备医疗器械注册证或备案凭证。</w:t>
            </w:r>
          </w:p>
          <w:p w14:paraId="07C80FA8">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1"/>
                <w:lang w:bidi="ar"/>
              </w:rPr>
              <w:t>5.</w:t>
            </w:r>
            <w:r>
              <w:rPr>
                <w:rFonts w:hint="default" w:ascii="Times New Roman" w:hAnsi="Times New Roman" w:eastAsia="宋体" w:cs="Times New Roman"/>
                <w:kern w:val="0"/>
                <w:sz w:val="20"/>
                <w:szCs w:val="24"/>
              </w:rPr>
              <w:t xml:space="preserve"> 能本地检验，分析系统能部署在院内指定服务器。</w:t>
            </w:r>
          </w:p>
          <w:p w14:paraId="210D536F">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4"/>
                <w:lang w:bidi="ar"/>
              </w:rPr>
              <w:t>6</w:t>
            </w:r>
            <w:r>
              <w:rPr>
                <w:rFonts w:hint="default" w:ascii="Times New Roman" w:hAnsi="Times New Roman" w:eastAsia="宋体" w:cs="Times New Roman"/>
                <w:color w:val="000000"/>
                <w:kern w:val="0"/>
                <w:sz w:val="20"/>
                <w:szCs w:val="21"/>
                <w:lang w:bidi="ar"/>
              </w:rPr>
              <w:t>.</w:t>
            </w:r>
            <w:r>
              <w:rPr>
                <w:rFonts w:hint="default" w:ascii="Times New Roman" w:hAnsi="Times New Roman" w:eastAsia="宋体" w:cs="Times New Roman"/>
                <w:kern w:val="0"/>
                <w:sz w:val="20"/>
                <w:szCs w:val="24"/>
              </w:rPr>
              <w:t>需具备临床检测相关资质，若遇院内仪器故障，可协助提供检测服务。</w:t>
            </w:r>
          </w:p>
          <w:p w14:paraId="17469408">
            <w:pPr>
              <w:rPr>
                <w:rFonts w:hint="default" w:ascii="Times New Roman" w:hAnsi="Times New Roman" w:eastAsia="宋体" w:cs="Times New Roman"/>
                <w:kern w:val="0"/>
                <w:sz w:val="20"/>
                <w:szCs w:val="24"/>
              </w:rPr>
            </w:pPr>
            <w:r>
              <w:rPr>
                <w:rFonts w:hint="default" w:ascii="Times New Roman" w:hAnsi="Times New Roman" w:eastAsia="宋体" w:cs="Times New Roman"/>
                <w:kern w:val="0"/>
                <w:sz w:val="20"/>
                <w:szCs w:val="24"/>
              </w:rPr>
              <w:t>7.</w:t>
            </w:r>
            <w:r>
              <w:rPr>
                <w:rFonts w:hint="default" w:ascii="Times New Roman" w:hAnsi="Times New Roman" w:eastAsia="宋体" w:cs="Times New Roman"/>
                <w:kern w:val="0"/>
                <w:sz w:val="20"/>
                <w:szCs w:val="20"/>
              </w:rPr>
              <w:t xml:space="preserve"> </w:t>
            </w:r>
            <w:r>
              <w:rPr>
                <w:rFonts w:hint="default" w:ascii="Times New Roman" w:hAnsi="Times New Roman" w:eastAsia="宋体" w:cs="Times New Roman"/>
                <w:kern w:val="0"/>
                <w:sz w:val="20"/>
                <w:szCs w:val="24"/>
              </w:rPr>
              <w:t>DNA最低投入量≥250ng 即可进行建库，要求平均覆盖深度≥2000X。</w:t>
            </w:r>
          </w:p>
          <w:p w14:paraId="09A9AE0F">
            <w:pPr>
              <w:rPr>
                <w:rFonts w:hint="default" w:ascii="Times New Roman" w:hAnsi="Times New Roman" w:eastAsia="宋体" w:cs="Times New Roman"/>
                <w:kern w:val="0"/>
                <w:sz w:val="20"/>
                <w:szCs w:val="24"/>
              </w:rPr>
            </w:pPr>
            <w:r>
              <w:rPr>
                <w:rFonts w:hint="default" w:ascii="Times New Roman" w:hAnsi="Times New Roman" w:eastAsia="宋体" w:cs="Times New Roman"/>
                <w:kern w:val="0"/>
                <w:sz w:val="20"/>
                <w:szCs w:val="24"/>
              </w:rPr>
              <w:t>8.点突变频率不低于1%，小片段插入缺失突变不低于3%，结果应检出试剂盒检测基因范围内所包含的基因突变型别。</w:t>
            </w:r>
          </w:p>
          <w:p w14:paraId="4D871CF0">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kern w:val="0"/>
                <w:sz w:val="20"/>
                <w:szCs w:val="24"/>
              </w:rPr>
              <w:t>9.对应试剂盒有效期不低于12个月。</w:t>
            </w:r>
          </w:p>
        </w:tc>
      </w:tr>
      <w:tr w14:paraId="64A241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741" w:type="dxa"/>
            <w:vAlign w:val="center"/>
          </w:tcPr>
          <w:p w14:paraId="396F0FCA">
            <w:pPr>
              <w:widowControl/>
              <w:jc w:val="center"/>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6</w:t>
            </w:r>
          </w:p>
        </w:tc>
        <w:tc>
          <w:tcPr>
            <w:tcW w:w="1936" w:type="dxa"/>
            <w:vAlign w:val="center"/>
          </w:tcPr>
          <w:p w14:paraId="74BD7825">
            <w:pPr>
              <w:rPr>
                <w:rFonts w:hint="default" w:ascii="Times New Roman" w:hAnsi="Times New Roman" w:eastAsia="宋体" w:cs="Times New Roman"/>
                <w:color w:val="000000"/>
                <w:kern w:val="0"/>
                <w:sz w:val="20"/>
                <w:szCs w:val="21"/>
              </w:rPr>
            </w:pPr>
            <w:r>
              <w:rPr>
                <w:rFonts w:hint="default" w:ascii="Times New Roman" w:hAnsi="Times New Roman" w:eastAsia="宋体" w:cs="Times New Roman"/>
                <w:color w:val="000000"/>
                <w:kern w:val="0"/>
                <w:sz w:val="20"/>
                <w:szCs w:val="21"/>
              </w:rPr>
              <w:t>ph-like ALL融合基因检测</w:t>
            </w:r>
          </w:p>
        </w:tc>
        <w:tc>
          <w:tcPr>
            <w:tcW w:w="7000" w:type="dxa"/>
            <w:vAlign w:val="center"/>
          </w:tcPr>
          <w:p w14:paraId="23B71363">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1.用途/检测范围：该检测聚焦于费城染色体样急性淋巴细胞白血病（Ph-like ALL）相关的34种关键融合基因，全面覆盖ABL类（如ABL1、ABL2、CSF1R、PDGFRB重排）、JAK-STAT通路类（如JAK2、EPOR、CRLF2重排）及其他罕见驱动基因（如NTRK3、FLT3、LMO2等）。依据NCCN指南及国内专家共识，采用多重RT-PCR或靶向RNA测序技术，针对Ph染色体阴性的B-ALL患者进行快速分子分型。</w:t>
            </w:r>
            <w:r>
              <w:rPr>
                <w:rFonts w:hint="default" w:ascii="Times New Roman" w:hAnsi="Times New Roman" w:eastAsia="宋体" w:cs="Times New Roman"/>
                <w:color w:val="000000"/>
                <w:kern w:val="0"/>
                <w:sz w:val="20"/>
                <w:szCs w:val="21"/>
                <w:lang w:bidi="ar"/>
              </w:rPr>
              <w:br w:type="textWrapping"/>
            </w:r>
            <w:r>
              <w:rPr>
                <w:rFonts w:hint="default" w:ascii="Times New Roman" w:hAnsi="Times New Roman" w:eastAsia="宋体" w:cs="Times New Roman"/>
                <w:color w:val="000000"/>
                <w:kern w:val="0"/>
                <w:sz w:val="20"/>
                <w:szCs w:val="21"/>
                <w:lang w:bidi="ar"/>
              </w:rPr>
              <w:t>2.检测样本类型：骨髓/外周血</w:t>
            </w:r>
            <w:r>
              <w:rPr>
                <w:rFonts w:hint="default" w:ascii="Times New Roman" w:hAnsi="Times New Roman" w:eastAsia="宋体" w:cs="Times New Roman"/>
                <w:color w:val="000000"/>
                <w:kern w:val="0"/>
                <w:sz w:val="20"/>
                <w:szCs w:val="21"/>
                <w:lang w:bidi="ar"/>
              </w:rPr>
              <w:br w:type="textWrapping"/>
            </w:r>
            <w:r>
              <w:rPr>
                <w:rFonts w:hint="default" w:ascii="Times New Roman" w:hAnsi="Times New Roman" w:eastAsia="宋体" w:cs="Times New Roman"/>
                <w:color w:val="000000"/>
                <w:kern w:val="0"/>
                <w:sz w:val="20"/>
                <w:szCs w:val="21"/>
                <w:lang w:bidi="ar"/>
              </w:rPr>
              <w:t>3.方法学：基于PCR-荧光探针法。</w:t>
            </w:r>
          </w:p>
          <w:p w14:paraId="416F7ED4">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4.试剂须具备医疗器械注册证或备案凭证。</w:t>
            </w:r>
          </w:p>
          <w:p w14:paraId="6D6157E4">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1"/>
                <w:lang w:bidi="ar"/>
              </w:rPr>
              <w:t>5.</w:t>
            </w:r>
            <w:r>
              <w:rPr>
                <w:rFonts w:hint="default" w:ascii="Times New Roman" w:hAnsi="Times New Roman" w:eastAsia="宋体" w:cs="Times New Roman"/>
                <w:kern w:val="0"/>
                <w:sz w:val="20"/>
                <w:szCs w:val="24"/>
              </w:rPr>
              <w:t xml:space="preserve"> 能本地检验，分析系统能部署在院内指定服务器。</w:t>
            </w:r>
          </w:p>
          <w:p w14:paraId="4A75AD9A">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4"/>
                <w:lang w:bidi="ar"/>
              </w:rPr>
              <w:t>6</w:t>
            </w:r>
            <w:r>
              <w:rPr>
                <w:rFonts w:hint="default" w:ascii="Times New Roman" w:hAnsi="Times New Roman" w:eastAsia="宋体" w:cs="Times New Roman"/>
                <w:color w:val="000000"/>
                <w:kern w:val="0"/>
                <w:sz w:val="20"/>
                <w:szCs w:val="21"/>
                <w:lang w:bidi="ar"/>
              </w:rPr>
              <w:t>.</w:t>
            </w:r>
            <w:r>
              <w:rPr>
                <w:rFonts w:hint="default" w:ascii="Times New Roman" w:hAnsi="Times New Roman" w:eastAsia="宋体" w:cs="Times New Roman"/>
                <w:kern w:val="0"/>
                <w:sz w:val="20"/>
                <w:szCs w:val="24"/>
              </w:rPr>
              <w:t>需具备临床检测相关资质，若遇院内仪器故障，可协助提供检测服务。</w:t>
            </w:r>
          </w:p>
          <w:p w14:paraId="1F91DCD1">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7.检测下限或突变频率范围：需完全满足至少34种融合基因以及相应的融合型，且融合基因检测灵敏度为 1000 copies/反应</w:t>
            </w:r>
          </w:p>
          <w:p w14:paraId="39D0F8AC">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8.对应试剂盒有效期12个月</w:t>
            </w:r>
          </w:p>
        </w:tc>
      </w:tr>
      <w:tr w14:paraId="1A32E2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741" w:type="dxa"/>
            <w:vAlign w:val="center"/>
          </w:tcPr>
          <w:p w14:paraId="3FA9CE48">
            <w:pPr>
              <w:widowControl/>
              <w:jc w:val="center"/>
              <w:textAlignment w:val="center"/>
              <w:rPr>
                <w:rFonts w:hint="default" w:ascii="Times New Roman" w:hAnsi="Times New Roman" w:eastAsia="宋体" w:cs="Times New Roman"/>
                <w:kern w:val="0"/>
                <w:sz w:val="20"/>
                <w:szCs w:val="21"/>
              </w:rPr>
            </w:pPr>
            <w:r>
              <w:rPr>
                <w:rFonts w:hint="default" w:ascii="Times New Roman" w:hAnsi="Times New Roman" w:eastAsia="宋体" w:cs="Times New Roman"/>
                <w:kern w:val="0"/>
                <w:sz w:val="20"/>
                <w:szCs w:val="21"/>
              </w:rPr>
              <w:t>7</w:t>
            </w:r>
          </w:p>
        </w:tc>
        <w:tc>
          <w:tcPr>
            <w:tcW w:w="1936" w:type="dxa"/>
            <w:vAlign w:val="center"/>
          </w:tcPr>
          <w:p w14:paraId="705B6F94">
            <w:pPr>
              <w:rPr>
                <w:rFonts w:hint="default" w:ascii="Times New Roman" w:hAnsi="Times New Roman" w:eastAsia="宋体" w:cs="Times New Roman"/>
                <w:color w:val="000000"/>
                <w:kern w:val="0"/>
                <w:sz w:val="20"/>
                <w:szCs w:val="21"/>
              </w:rPr>
            </w:pPr>
            <w:r>
              <w:rPr>
                <w:rFonts w:hint="default" w:ascii="Times New Roman" w:hAnsi="Times New Roman" w:eastAsia="宋体" w:cs="Times New Roman"/>
                <w:color w:val="000000"/>
                <w:kern w:val="0"/>
                <w:sz w:val="20"/>
                <w:szCs w:val="21"/>
              </w:rPr>
              <w:t>淋系肿瘤融合基因谱筛查</w:t>
            </w:r>
          </w:p>
        </w:tc>
        <w:tc>
          <w:tcPr>
            <w:tcW w:w="7000" w:type="dxa"/>
            <w:vAlign w:val="center"/>
          </w:tcPr>
          <w:p w14:paraId="7ED46F48">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1.用途/检测范围：通过多重荧光定量PCR结合Taqman探针技术对ALL、CLL、MM、其他混合细胞型白血病以及未明确分型的白血病相关的74种融合基因同时进行定性检测。</w:t>
            </w:r>
          </w:p>
          <w:p w14:paraId="36BE1A5D">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2.检测样本类型：骨髓/外周血。</w:t>
            </w:r>
          </w:p>
          <w:p w14:paraId="36062958">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3.方法学：基于PCR-荧光探针法。</w:t>
            </w:r>
          </w:p>
          <w:p w14:paraId="256CDA5B">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4.试剂须具备医疗器械注册证或备案凭证。</w:t>
            </w:r>
          </w:p>
          <w:p w14:paraId="5C01902D">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5.检测下限或突变频率范围：需完全满足至少74种融合基因以及相应的融合型，且融合基因检测灵敏度为 1000 copies/反应</w:t>
            </w:r>
          </w:p>
          <w:p w14:paraId="4304F440">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6.对应试剂盒有效期12个月</w:t>
            </w:r>
          </w:p>
        </w:tc>
      </w:tr>
      <w:tr w14:paraId="6D1C11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741" w:type="dxa"/>
            <w:vAlign w:val="center"/>
          </w:tcPr>
          <w:p w14:paraId="2D39B52F">
            <w:pPr>
              <w:widowControl/>
              <w:jc w:val="center"/>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8</w:t>
            </w:r>
          </w:p>
        </w:tc>
        <w:tc>
          <w:tcPr>
            <w:tcW w:w="1936" w:type="dxa"/>
            <w:vAlign w:val="center"/>
          </w:tcPr>
          <w:p w14:paraId="19E8A04C">
            <w:pPr>
              <w:rPr>
                <w:rFonts w:hint="default" w:ascii="Times New Roman" w:hAnsi="Times New Roman" w:eastAsia="宋体" w:cs="Times New Roman"/>
                <w:color w:val="000000"/>
                <w:kern w:val="0"/>
                <w:sz w:val="20"/>
                <w:szCs w:val="21"/>
              </w:rPr>
            </w:pPr>
            <w:r>
              <w:rPr>
                <w:rFonts w:hint="default" w:ascii="Times New Roman" w:hAnsi="Times New Roman" w:eastAsia="宋体" w:cs="Times New Roman"/>
                <w:color w:val="000000"/>
                <w:kern w:val="0"/>
                <w:sz w:val="20"/>
                <w:szCs w:val="21"/>
              </w:rPr>
              <w:t>ALL常见融合基因检测</w:t>
            </w:r>
          </w:p>
        </w:tc>
        <w:tc>
          <w:tcPr>
            <w:tcW w:w="7000" w:type="dxa"/>
            <w:vAlign w:val="center"/>
          </w:tcPr>
          <w:p w14:paraId="0C5A3D62">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1、用途/检测范围：定性检测 ALL 相关</w:t>
            </w:r>
            <w:r>
              <w:rPr>
                <w:rFonts w:hint="default" w:ascii="Times New Roman" w:hAnsi="Times New Roman" w:eastAsia="宋体" w:cs="Times New Roman"/>
                <w:color w:val="000000" w:themeColor="text1"/>
                <w:kern w:val="0"/>
                <w:sz w:val="20"/>
                <w:szCs w:val="21"/>
                <w:lang w:bidi="ar"/>
                <w14:textFill>
                  <w14:solidFill>
                    <w14:schemeClr w14:val="tx1"/>
                  </w14:solidFill>
                </w14:textFill>
              </w:rPr>
              <w:t xml:space="preserve"> 15 种</w:t>
            </w:r>
            <w:r>
              <w:rPr>
                <w:rFonts w:hint="default" w:ascii="Times New Roman" w:hAnsi="Times New Roman" w:eastAsia="宋体" w:cs="Times New Roman"/>
                <w:color w:val="000000"/>
                <w:kern w:val="0"/>
                <w:sz w:val="20"/>
                <w:szCs w:val="21"/>
                <w:lang w:bidi="ar"/>
              </w:rPr>
              <w:t>融合基因，用于急性淋巴细胞白血病分子分型、预后评估及靶向治疗参考。</w:t>
            </w:r>
          </w:p>
          <w:p w14:paraId="7CF18DCC">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2.检测样本类型：骨髓/外周血。</w:t>
            </w:r>
          </w:p>
          <w:p w14:paraId="59D9C9F6">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3.方法学：基于PCR-荧光探针法。</w:t>
            </w:r>
          </w:p>
          <w:p w14:paraId="1325D024">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4.试剂须具备医疗器械注册证或备案凭证。</w:t>
            </w:r>
          </w:p>
          <w:p w14:paraId="2CAEAC87">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5.检测下限或突变频率范围：需完全满足至少</w:t>
            </w:r>
            <w:r>
              <w:rPr>
                <w:rFonts w:hint="default" w:ascii="Times New Roman" w:hAnsi="Times New Roman" w:eastAsia="宋体" w:cs="Times New Roman"/>
                <w:color w:val="000000" w:themeColor="text1"/>
                <w:kern w:val="0"/>
                <w:sz w:val="20"/>
                <w:szCs w:val="21"/>
                <w:lang w:bidi="ar"/>
                <w14:textFill>
                  <w14:solidFill>
                    <w14:schemeClr w14:val="tx1"/>
                  </w14:solidFill>
                </w14:textFill>
              </w:rPr>
              <w:t>15种融</w:t>
            </w:r>
            <w:r>
              <w:rPr>
                <w:rFonts w:hint="default" w:ascii="Times New Roman" w:hAnsi="Times New Roman" w:eastAsia="宋体" w:cs="Times New Roman"/>
                <w:color w:val="000000"/>
                <w:kern w:val="0"/>
                <w:sz w:val="20"/>
                <w:szCs w:val="21"/>
                <w:lang w:bidi="ar"/>
              </w:rPr>
              <w:t>合基因以及相应的融合型，且融合基因检测灵敏度为1000 copies/反应</w:t>
            </w:r>
          </w:p>
          <w:p w14:paraId="441D7A67">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6.对应试剂盒有效期12个月</w:t>
            </w:r>
          </w:p>
        </w:tc>
      </w:tr>
      <w:tr w14:paraId="25F11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741" w:type="dxa"/>
            <w:vAlign w:val="center"/>
          </w:tcPr>
          <w:p w14:paraId="68C9A32F">
            <w:pPr>
              <w:widowControl/>
              <w:jc w:val="center"/>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9</w:t>
            </w:r>
          </w:p>
        </w:tc>
        <w:tc>
          <w:tcPr>
            <w:tcW w:w="1936" w:type="dxa"/>
            <w:vAlign w:val="center"/>
          </w:tcPr>
          <w:p w14:paraId="1A862282">
            <w:pPr>
              <w:rPr>
                <w:rFonts w:hint="default" w:ascii="Times New Roman" w:hAnsi="Times New Roman" w:eastAsia="宋体" w:cs="Times New Roman"/>
                <w:color w:val="000000"/>
                <w:kern w:val="0"/>
                <w:sz w:val="20"/>
                <w:szCs w:val="21"/>
              </w:rPr>
            </w:pPr>
            <w:r>
              <w:rPr>
                <w:rFonts w:hint="default" w:ascii="Times New Roman" w:hAnsi="Times New Roman" w:eastAsia="宋体" w:cs="Times New Roman"/>
                <w:color w:val="000000"/>
                <w:kern w:val="0"/>
                <w:sz w:val="20"/>
                <w:szCs w:val="21"/>
              </w:rPr>
              <w:t>Ig重排(IGH/IGK/IGL)</w:t>
            </w:r>
          </w:p>
        </w:tc>
        <w:tc>
          <w:tcPr>
            <w:tcW w:w="7000" w:type="dxa"/>
            <w:vAlign w:val="center"/>
          </w:tcPr>
          <w:p w14:paraId="26E6A64D">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1.用途/检测范围：通过荧光PCR毛细管电泳法对免疫球蛋白（IG）(IGH，IGK，IGL) 基因的重链和轻链重排进行检测</w:t>
            </w:r>
            <w:r>
              <w:rPr>
                <w:rFonts w:hint="default" w:ascii="Times New Roman" w:hAnsi="Times New Roman" w:eastAsia="宋体" w:cs="Times New Roman"/>
                <w:color w:val="000000"/>
                <w:kern w:val="0"/>
                <w:sz w:val="20"/>
                <w:szCs w:val="21"/>
                <w:lang w:bidi="ar"/>
              </w:rPr>
              <w:br w:type="textWrapping"/>
            </w:r>
            <w:r>
              <w:rPr>
                <w:rFonts w:hint="default" w:ascii="Times New Roman" w:hAnsi="Times New Roman" w:eastAsia="宋体" w:cs="Times New Roman"/>
                <w:color w:val="000000"/>
                <w:kern w:val="0"/>
                <w:sz w:val="20"/>
                <w:szCs w:val="21"/>
                <w:lang w:bidi="ar"/>
              </w:rPr>
              <w:t>2.检测样本类型：骨髓/外周血。</w:t>
            </w:r>
            <w:r>
              <w:rPr>
                <w:rFonts w:hint="default" w:ascii="Times New Roman" w:hAnsi="Times New Roman" w:eastAsia="宋体" w:cs="Times New Roman"/>
                <w:color w:val="000000"/>
                <w:kern w:val="0"/>
                <w:sz w:val="20"/>
                <w:szCs w:val="21"/>
                <w:lang w:bidi="ar"/>
              </w:rPr>
              <w:br w:type="textWrapping"/>
            </w:r>
            <w:r>
              <w:rPr>
                <w:rFonts w:hint="default" w:ascii="Times New Roman" w:hAnsi="Times New Roman" w:eastAsia="宋体" w:cs="Times New Roman"/>
                <w:color w:val="000000"/>
                <w:kern w:val="0"/>
                <w:sz w:val="20"/>
                <w:szCs w:val="21"/>
                <w:lang w:bidi="ar"/>
              </w:rPr>
              <w:t>3.方法学：基于PCR-毛细血管法。</w:t>
            </w:r>
            <w:r>
              <w:rPr>
                <w:rFonts w:hint="default" w:ascii="Times New Roman" w:hAnsi="Times New Roman" w:eastAsia="宋体" w:cs="Times New Roman"/>
                <w:color w:val="000000"/>
                <w:kern w:val="0"/>
                <w:sz w:val="20"/>
                <w:szCs w:val="21"/>
                <w:lang w:bidi="ar"/>
              </w:rPr>
              <w:br w:type="textWrapping"/>
            </w:r>
            <w:r>
              <w:rPr>
                <w:rFonts w:hint="default" w:ascii="Times New Roman" w:hAnsi="Times New Roman" w:eastAsia="宋体" w:cs="Times New Roman"/>
                <w:color w:val="000000"/>
                <w:kern w:val="0"/>
                <w:sz w:val="20"/>
                <w:szCs w:val="21"/>
                <w:lang w:bidi="ar"/>
              </w:rPr>
              <w:t>4.试剂须具备医疗器械注册证或备案凭证。</w:t>
            </w:r>
          </w:p>
          <w:p w14:paraId="79869FFA">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1"/>
                <w:lang w:bidi="ar"/>
              </w:rPr>
              <w:t>5.</w:t>
            </w:r>
            <w:r>
              <w:rPr>
                <w:rFonts w:hint="default" w:ascii="Times New Roman" w:hAnsi="Times New Roman" w:eastAsia="宋体" w:cs="Times New Roman"/>
                <w:kern w:val="0"/>
                <w:sz w:val="20"/>
                <w:szCs w:val="24"/>
              </w:rPr>
              <w:t xml:space="preserve"> 能本地检验，分析系统能部署在院内指定服务器。</w:t>
            </w:r>
          </w:p>
          <w:p w14:paraId="3CB42904">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4"/>
                <w:lang w:bidi="ar"/>
              </w:rPr>
              <w:t>6</w:t>
            </w:r>
            <w:r>
              <w:rPr>
                <w:rFonts w:hint="default" w:ascii="Times New Roman" w:hAnsi="Times New Roman" w:eastAsia="宋体" w:cs="Times New Roman"/>
                <w:color w:val="000000"/>
                <w:kern w:val="0"/>
                <w:sz w:val="20"/>
                <w:szCs w:val="21"/>
                <w:lang w:bidi="ar"/>
              </w:rPr>
              <w:t>.</w:t>
            </w:r>
            <w:r>
              <w:rPr>
                <w:rFonts w:hint="default" w:ascii="Times New Roman" w:hAnsi="Times New Roman" w:eastAsia="宋体" w:cs="Times New Roman"/>
                <w:kern w:val="0"/>
                <w:sz w:val="20"/>
                <w:szCs w:val="24"/>
              </w:rPr>
              <w:t>需具备临床检测相关资质，若遇院内仪器故障，可协助提供检测服务。</w:t>
            </w:r>
          </w:p>
          <w:p w14:paraId="66964735">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7.灵敏度：1%。</w:t>
            </w:r>
          </w:p>
          <w:p w14:paraId="2E36A468">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8.</w:t>
            </w:r>
            <w:r>
              <w:rPr>
                <w:rFonts w:hint="default" w:ascii="Times New Roman" w:hAnsi="Times New Roman" w:eastAsia="宋体" w:cs="Times New Roman"/>
                <w:color w:val="000000"/>
                <w:kern w:val="0"/>
                <w:sz w:val="20"/>
                <w:szCs w:val="20"/>
                <w:lang w:bidi="ar"/>
              </w:rPr>
              <w:t>对应</w:t>
            </w:r>
            <w:r>
              <w:rPr>
                <w:rFonts w:hint="default" w:ascii="Times New Roman" w:hAnsi="Times New Roman" w:eastAsia="宋体" w:cs="Times New Roman"/>
                <w:color w:val="000000"/>
                <w:kern w:val="0"/>
                <w:sz w:val="20"/>
                <w:szCs w:val="21"/>
                <w:lang w:bidi="ar"/>
              </w:rPr>
              <w:t>试剂盒有效期12个月。</w:t>
            </w:r>
          </w:p>
        </w:tc>
      </w:tr>
      <w:tr w14:paraId="551A0E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741" w:type="dxa"/>
            <w:vAlign w:val="center"/>
          </w:tcPr>
          <w:p w14:paraId="2E38C0CD">
            <w:pPr>
              <w:widowControl/>
              <w:jc w:val="center"/>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10</w:t>
            </w:r>
          </w:p>
        </w:tc>
        <w:tc>
          <w:tcPr>
            <w:tcW w:w="1936" w:type="dxa"/>
            <w:vAlign w:val="center"/>
          </w:tcPr>
          <w:p w14:paraId="52493B45">
            <w:pPr>
              <w:rPr>
                <w:rFonts w:hint="default" w:ascii="Times New Roman" w:hAnsi="Times New Roman" w:eastAsia="宋体" w:cs="Times New Roman"/>
                <w:color w:val="000000"/>
                <w:kern w:val="0"/>
                <w:sz w:val="20"/>
                <w:szCs w:val="21"/>
              </w:rPr>
            </w:pPr>
            <w:r>
              <w:rPr>
                <w:rFonts w:hint="default" w:ascii="Times New Roman" w:hAnsi="Times New Roman" w:eastAsia="宋体" w:cs="Times New Roman"/>
                <w:color w:val="000000"/>
                <w:kern w:val="0"/>
                <w:sz w:val="20"/>
                <w:szCs w:val="21"/>
              </w:rPr>
              <w:t>TCR重排</w:t>
            </w:r>
          </w:p>
          <w:p w14:paraId="5E73B080">
            <w:pPr>
              <w:rPr>
                <w:rFonts w:hint="default" w:ascii="Times New Roman" w:hAnsi="Times New Roman" w:eastAsia="宋体" w:cs="Times New Roman"/>
                <w:color w:val="000000"/>
                <w:kern w:val="0"/>
                <w:sz w:val="20"/>
                <w:szCs w:val="21"/>
              </w:rPr>
            </w:pPr>
            <w:r>
              <w:rPr>
                <w:rFonts w:hint="default" w:ascii="Times New Roman" w:hAnsi="Times New Roman" w:eastAsia="宋体" w:cs="Times New Roman"/>
                <w:color w:val="000000"/>
                <w:kern w:val="0"/>
                <w:sz w:val="20"/>
                <w:szCs w:val="21"/>
              </w:rPr>
              <w:t>(TCRB/TCRG/TCRD)</w:t>
            </w:r>
          </w:p>
        </w:tc>
        <w:tc>
          <w:tcPr>
            <w:tcW w:w="7000" w:type="dxa"/>
            <w:vAlign w:val="center"/>
          </w:tcPr>
          <w:p w14:paraId="17470C59">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1.用途/检测范围：通过荧光PCR毛细管电泳法对T细胞受体基因的β、γ和δ链重排进行检测。</w:t>
            </w:r>
            <w:r>
              <w:rPr>
                <w:rFonts w:hint="default" w:ascii="Times New Roman" w:hAnsi="Times New Roman" w:eastAsia="宋体" w:cs="Times New Roman"/>
                <w:color w:val="000000"/>
                <w:kern w:val="0"/>
                <w:sz w:val="20"/>
                <w:szCs w:val="21"/>
                <w:lang w:bidi="ar"/>
              </w:rPr>
              <w:br w:type="textWrapping"/>
            </w:r>
            <w:r>
              <w:rPr>
                <w:rFonts w:hint="default" w:ascii="Times New Roman" w:hAnsi="Times New Roman" w:eastAsia="宋体" w:cs="Times New Roman"/>
                <w:color w:val="000000"/>
                <w:kern w:val="0"/>
                <w:sz w:val="20"/>
                <w:szCs w:val="21"/>
                <w:lang w:bidi="ar"/>
              </w:rPr>
              <w:t>2.检测样本类型：骨髓/外周血。</w:t>
            </w:r>
            <w:r>
              <w:rPr>
                <w:rFonts w:hint="default" w:ascii="Times New Roman" w:hAnsi="Times New Roman" w:eastAsia="宋体" w:cs="Times New Roman"/>
                <w:color w:val="000000"/>
                <w:kern w:val="0"/>
                <w:sz w:val="20"/>
                <w:szCs w:val="21"/>
                <w:lang w:bidi="ar"/>
              </w:rPr>
              <w:br w:type="textWrapping"/>
            </w:r>
            <w:r>
              <w:rPr>
                <w:rFonts w:hint="default" w:ascii="Times New Roman" w:hAnsi="Times New Roman" w:eastAsia="宋体" w:cs="Times New Roman"/>
                <w:color w:val="000000"/>
                <w:kern w:val="0"/>
                <w:sz w:val="20"/>
                <w:szCs w:val="21"/>
                <w:lang w:bidi="ar"/>
              </w:rPr>
              <w:t>3.方法学：基于PCR-毛细血管法。</w:t>
            </w:r>
            <w:r>
              <w:rPr>
                <w:rFonts w:hint="default" w:ascii="Times New Roman" w:hAnsi="Times New Roman" w:eastAsia="宋体" w:cs="Times New Roman"/>
                <w:color w:val="000000"/>
                <w:kern w:val="0"/>
                <w:sz w:val="20"/>
                <w:szCs w:val="21"/>
                <w:lang w:bidi="ar"/>
              </w:rPr>
              <w:br w:type="textWrapping"/>
            </w:r>
            <w:r>
              <w:rPr>
                <w:rFonts w:hint="default" w:ascii="Times New Roman" w:hAnsi="Times New Roman" w:eastAsia="宋体" w:cs="Times New Roman"/>
                <w:color w:val="000000"/>
                <w:kern w:val="0"/>
                <w:sz w:val="20"/>
                <w:szCs w:val="21"/>
                <w:lang w:bidi="ar"/>
              </w:rPr>
              <w:t>4.试剂须具备医疗器械注册证或备案凭证。</w:t>
            </w:r>
          </w:p>
          <w:p w14:paraId="1BB170C0">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1"/>
                <w:lang w:bidi="ar"/>
              </w:rPr>
              <w:t>5.</w:t>
            </w:r>
            <w:r>
              <w:rPr>
                <w:rFonts w:hint="default" w:ascii="Times New Roman" w:hAnsi="Times New Roman" w:eastAsia="宋体" w:cs="Times New Roman"/>
                <w:kern w:val="0"/>
                <w:sz w:val="20"/>
                <w:szCs w:val="24"/>
              </w:rPr>
              <w:t xml:space="preserve"> 能本地检验，分析系统能部署在院内指定服务器。</w:t>
            </w:r>
          </w:p>
          <w:p w14:paraId="013F34FE">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4"/>
                <w:lang w:bidi="ar"/>
              </w:rPr>
              <w:t>6</w:t>
            </w:r>
            <w:r>
              <w:rPr>
                <w:rFonts w:hint="default" w:ascii="Times New Roman" w:hAnsi="Times New Roman" w:eastAsia="宋体" w:cs="Times New Roman"/>
                <w:color w:val="000000"/>
                <w:kern w:val="0"/>
                <w:sz w:val="20"/>
                <w:szCs w:val="21"/>
                <w:lang w:bidi="ar"/>
              </w:rPr>
              <w:t>.</w:t>
            </w:r>
            <w:r>
              <w:rPr>
                <w:rFonts w:hint="default" w:ascii="Times New Roman" w:hAnsi="Times New Roman" w:eastAsia="宋体" w:cs="Times New Roman"/>
                <w:kern w:val="0"/>
                <w:sz w:val="20"/>
                <w:szCs w:val="24"/>
              </w:rPr>
              <w:t>需具备临床检测相关资质，若遇院内仪器故障，可协助提供检测服务。</w:t>
            </w:r>
          </w:p>
          <w:p w14:paraId="70E0B36F">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7.灵敏度：1%。</w:t>
            </w:r>
          </w:p>
          <w:p w14:paraId="7750AE3F">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8.</w:t>
            </w:r>
            <w:r>
              <w:rPr>
                <w:rFonts w:hint="default" w:ascii="Times New Roman" w:hAnsi="Times New Roman" w:eastAsia="宋体" w:cs="Times New Roman"/>
                <w:color w:val="000000"/>
                <w:kern w:val="0"/>
                <w:sz w:val="20"/>
                <w:szCs w:val="20"/>
                <w:lang w:bidi="ar"/>
              </w:rPr>
              <w:t>对应</w:t>
            </w:r>
            <w:r>
              <w:rPr>
                <w:rFonts w:hint="default" w:ascii="Times New Roman" w:hAnsi="Times New Roman" w:eastAsia="宋体" w:cs="Times New Roman"/>
                <w:color w:val="000000"/>
                <w:kern w:val="0"/>
                <w:sz w:val="20"/>
                <w:szCs w:val="21"/>
                <w:lang w:bidi="ar"/>
              </w:rPr>
              <w:t>试剂盒有效期12个月。</w:t>
            </w:r>
          </w:p>
        </w:tc>
      </w:tr>
      <w:tr w14:paraId="1CF3D1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741" w:type="dxa"/>
            <w:vAlign w:val="center"/>
          </w:tcPr>
          <w:p w14:paraId="639D531E">
            <w:pPr>
              <w:widowControl/>
              <w:textAlignment w:val="center"/>
              <w:rPr>
                <w:rFonts w:hint="default" w:ascii="Times New Roman" w:hAnsi="Times New Roman" w:eastAsia="宋体" w:cs="Times New Roman"/>
                <w:kern w:val="0"/>
                <w:sz w:val="20"/>
                <w:szCs w:val="21"/>
              </w:rPr>
            </w:pPr>
            <w:r>
              <w:rPr>
                <w:rFonts w:hint="default" w:ascii="Times New Roman" w:hAnsi="Times New Roman" w:eastAsia="宋体" w:cs="Times New Roman"/>
                <w:kern w:val="0"/>
                <w:sz w:val="20"/>
                <w:szCs w:val="21"/>
              </w:rPr>
              <w:t>11</w:t>
            </w:r>
          </w:p>
        </w:tc>
        <w:tc>
          <w:tcPr>
            <w:tcW w:w="1936" w:type="dxa"/>
            <w:vAlign w:val="center"/>
          </w:tcPr>
          <w:p w14:paraId="258A9026">
            <w:pPr>
              <w:rPr>
                <w:rFonts w:hint="default" w:ascii="Times New Roman" w:hAnsi="Times New Roman" w:eastAsia="宋体" w:cs="Times New Roman"/>
                <w:color w:val="000000"/>
                <w:kern w:val="0"/>
                <w:sz w:val="20"/>
                <w:szCs w:val="21"/>
              </w:rPr>
            </w:pPr>
            <w:r>
              <w:rPr>
                <w:rFonts w:hint="default" w:ascii="Times New Roman" w:hAnsi="Times New Roman" w:eastAsia="宋体" w:cs="Times New Roman"/>
                <w:color w:val="000000"/>
                <w:kern w:val="0"/>
                <w:sz w:val="20"/>
                <w:szCs w:val="21"/>
              </w:rPr>
              <w:t>血液肿瘤相关基因突变检测</w:t>
            </w:r>
          </w:p>
        </w:tc>
        <w:tc>
          <w:tcPr>
            <w:tcW w:w="7000" w:type="dxa"/>
            <w:vAlign w:val="center"/>
          </w:tcPr>
          <w:p w14:paraId="4FC8CB02">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1.用途/检测范围：应用二代测序靶向捕获技术，对髓系和淋系血液疾病相关的266个核心基因的全部外显子区域及附近+10 bp内含子区域同时进行检测，可一次性获得多个基因核心目标区域的点突变，插入/缺失和剪切位点突变情况。</w:t>
            </w:r>
          </w:p>
          <w:p w14:paraId="6520F752">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2.检测样本类型：骨髓/外周血。</w:t>
            </w:r>
          </w:p>
          <w:p w14:paraId="3CBCFEB3">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3.方法学：基于高通量测序（NGS）。</w:t>
            </w:r>
          </w:p>
          <w:p w14:paraId="3983E0CF">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4.试剂须具备医疗器械注册证或备案凭证。</w:t>
            </w:r>
          </w:p>
          <w:p w14:paraId="13543F7E">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1"/>
                <w:lang w:bidi="ar"/>
              </w:rPr>
              <w:t>5.</w:t>
            </w:r>
            <w:r>
              <w:rPr>
                <w:rFonts w:hint="default" w:ascii="Times New Roman" w:hAnsi="Times New Roman" w:eastAsia="宋体" w:cs="Times New Roman"/>
                <w:kern w:val="0"/>
                <w:sz w:val="20"/>
                <w:szCs w:val="24"/>
              </w:rPr>
              <w:t xml:space="preserve"> 能本地检验，分析系统能部署在院内指定服务器。</w:t>
            </w:r>
          </w:p>
          <w:p w14:paraId="22147388">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4"/>
                <w:lang w:bidi="ar"/>
              </w:rPr>
              <w:t>6</w:t>
            </w:r>
            <w:r>
              <w:rPr>
                <w:rFonts w:hint="default" w:ascii="Times New Roman" w:hAnsi="Times New Roman" w:eastAsia="宋体" w:cs="Times New Roman"/>
                <w:color w:val="000000"/>
                <w:kern w:val="0"/>
                <w:sz w:val="20"/>
                <w:szCs w:val="21"/>
                <w:lang w:bidi="ar"/>
              </w:rPr>
              <w:t>.</w:t>
            </w:r>
            <w:r>
              <w:rPr>
                <w:rFonts w:hint="default" w:ascii="Times New Roman" w:hAnsi="Times New Roman" w:eastAsia="宋体" w:cs="Times New Roman"/>
                <w:kern w:val="0"/>
                <w:sz w:val="20"/>
                <w:szCs w:val="24"/>
              </w:rPr>
              <w:t>需具备临床检测相关资质，若遇院内仪器故障，可协助提供检测服务。</w:t>
            </w:r>
          </w:p>
          <w:p w14:paraId="05A0E913">
            <w:pPr>
              <w:rPr>
                <w:rFonts w:hint="default" w:ascii="Times New Roman" w:hAnsi="Times New Roman" w:eastAsia="宋体" w:cs="Times New Roman"/>
                <w:kern w:val="0"/>
                <w:sz w:val="20"/>
                <w:szCs w:val="24"/>
              </w:rPr>
            </w:pPr>
            <w:r>
              <w:rPr>
                <w:rFonts w:hint="default" w:ascii="Times New Roman" w:hAnsi="Times New Roman" w:eastAsia="宋体" w:cs="Times New Roman"/>
                <w:kern w:val="0"/>
                <w:sz w:val="20"/>
                <w:szCs w:val="24"/>
              </w:rPr>
              <w:t>7.</w:t>
            </w:r>
            <w:r>
              <w:rPr>
                <w:rFonts w:hint="default" w:ascii="Times New Roman" w:hAnsi="Times New Roman" w:eastAsia="宋体" w:cs="Times New Roman"/>
                <w:kern w:val="0"/>
                <w:sz w:val="20"/>
                <w:szCs w:val="20"/>
              </w:rPr>
              <w:t xml:space="preserve"> </w:t>
            </w:r>
            <w:r>
              <w:rPr>
                <w:rFonts w:hint="default" w:ascii="Times New Roman" w:hAnsi="Times New Roman" w:eastAsia="宋体" w:cs="Times New Roman"/>
                <w:kern w:val="0"/>
                <w:sz w:val="20"/>
                <w:szCs w:val="24"/>
              </w:rPr>
              <w:t>DNA最低投入量≥250ng 即可进行建库，要求平均覆盖深度≥2000X。</w:t>
            </w:r>
          </w:p>
          <w:p w14:paraId="091A2804">
            <w:pPr>
              <w:rPr>
                <w:rFonts w:hint="default" w:ascii="Times New Roman" w:hAnsi="Times New Roman" w:eastAsia="宋体" w:cs="Times New Roman"/>
                <w:kern w:val="0"/>
                <w:sz w:val="20"/>
                <w:szCs w:val="24"/>
              </w:rPr>
            </w:pPr>
            <w:r>
              <w:rPr>
                <w:rFonts w:hint="default" w:ascii="Times New Roman" w:hAnsi="Times New Roman" w:eastAsia="宋体" w:cs="Times New Roman"/>
                <w:kern w:val="0"/>
                <w:sz w:val="20"/>
                <w:szCs w:val="24"/>
              </w:rPr>
              <w:t>8.点突变频率不低于1%，小片段插入缺失突变不低于3%，结果应检出试剂盒检测基因范围内所包含的基因突变型别。</w:t>
            </w:r>
          </w:p>
          <w:p w14:paraId="4B7DD813">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kern w:val="0"/>
                <w:sz w:val="20"/>
                <w:szCs w:val="24"/>
              </w:rPr>
              <w:t>9.对应试剂盒有效期不低于12个月。</w:t>
            </w:r>
          </w:p>
        </w:tc>
      </w:tr>
      <w:tr w14:paraId="1795C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741" w:type="dxa"/>
            <w:vAlign w:val="center"/>
          </w:tcPr>
          <w:p w14:paraId="50AB7CC4">
            <w:pPr>
              <w:widowControl/>
              <w:jc w:val="center"/>
              <w:textAlignment w:val="center"/>
              <w:rPr>
                <w:rFonts w:hint="default" w:ascii="Times New Roman" w:hAnsi="Times New Roman" w:eastAsia="宋体" w:cs="Times New Roman"/>
                <w:kern w:val="0"/>
                <w:sz w:val="20"/>
                <w:szCs w:val="21"/>
              </w:rPr>
            </w:pPr>
            <w:r>
              <w:rPr>
                <w:rFonts w:hint="default" w:ascii="Times New Roman" w:hAnsi="Times New Roman" w:eastAsia="宋体" w:cs="Times New Roman"/>
                <w:kern w:val="0"/>
                <w:sz w:val="20"/>
                <w:szCs w:val="21"/>
              </w:rPr>
              <w:t>12</w:t>
            </w:r>
          </w:p>
        </w:tc>
        <w:tc>
          <w:tcPr>
            <w:tcW w:w="1936" w:type="dxa"/>
            <w:vAlign w:val="center"/>
          </w:tcPr>
          <w:p w14:paraId="5DDE3C80">
            <w:pPr>
              <w:rPr>
                <w:rFonts w:hint="default" w:ascii="Times New Roman" w:hAnsi="Times New Roman" w:eastAsia="宋体" w:cs="Times New Roman"/>
                <w:color w:val="000000"/>
                <w:kern w:val="0"/>
                <w:sz w:val="20"/>
                <w:szCs w:val="21"/>
              </w:rPr>
            </w:pPr>
            <w:r>
              <w:rPr>
                <w:rFonts w:hint="default" w:ascii="Times New Roman" w:hAnsi="Times New Roman" w:eastAsia="宋体" w:cs="Times New Roman"/>
                <w:color w:val="000000"/>
                <w:kern w:val="0"/>
                <w:sz w:val="20"/>
                <w:szCs w:val="21"/>
              </w:rPr>
              <w:t>血液肿瘤全转录组测序（RNA-seq）</w:t>
            </w:r>
          </w:p>
        </w:tc>
        <w:tc>
          <w:tcPr>
            <w:tcW w:w="7000" w:type="dxa"/>
            <w:vAlign w:val="center"/>
          </w:tcPr>
          <w:p w14:paraId="31C3D76A">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1.用途/检测范围：应用二代测序技术，对来自高质量和降解样本的蛋白质编码和非编码转录本进行检测，可应用于基因融合鉴定和转录水平的SNV检测。</w:t>
            </w:r>
          </w:p>
          <w:p w14:paraId="412BB9FA">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2.检测样本类型：骨髓/外周血/新鲜组织。</w:t>
            </w:r>
          </w:p>
          <w:p w14:paraId="458A75B3">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3.方法学：基于高通量测序（NGS）。</w:t>
            </w:r>
          </w:p>
          <w:p w14:paraId="6BD2319C">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4.试剂须具备医疗器械注册证或备案凭证。</w:t>
            </w:r>
          </w:p>
          <w:p w14:paraId="79C628DA">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1"/>
                <w:lang w:bidi="ar"/>
              </w:rPr>
              <w:t>5.</w:t>
            </w:r>
            <w:r>
              <w:rPr>
                <w:rFonts w:hint="default" w:ascii="Times New Roman" w:hAnsi="Times New Roman" w:eastAsia="宋体" w:cs="Times New Roman"/>
                <w:kern w:val="0"/>
                <w:sz w:val="20"/>
                <w:szCs w:val="24"/>
              </w:rPr>
              <w:t xml:space="preserve"> 能本地检验，分析系统能部署在院内指定服务器。</w:t>
            </w:r>
          </w:p>
          <w:p w14:paraId="421A24B6">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4"/>
                <w:lang w:bidi="ar"/>
              </w:rPr>
              <w:t>6</w:t>
            </w:r>
            <w:r>
              <w:rPr>
                <w:rFonts w:hint="default" w:ascii="Times New Roman" w:hAnsi="Times New Roman" w:eastAsia="宋体" w:cs="Times New Roman"/>
                <w:color w:val="000000"/>
                <w:kern w:val="0"/>
                <w:sz w:val="20"/>
                <w:szCs w:val="21"/>
                <w:lang w:bidi="ar"/>
              </w:rPr>
              <w:t>.</w:t>
            </w:r>
            <w:r>
              <w:rPr>
                <w:rFonts w:hint="default" w:ascii="Times New Roman" w:hAnsi="Times New Roman" w:eastAsia="宋体" w:cs="Times New Roman"/>
                <w:kern w:val="0"/>
                <w:sz w:val="20"/>
                <w:szCs w:val="24"/>
              </w:rPr>
              <w:t>需具备临床检测相关资质，若遇院内仪器故障，可协助提供检测服务。</w:t>
            </w:r>
          </w:p>
          <w:p w14:paraId="7FFF3B25">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7.RNA最低投入量≥2000ng 即可满足建库要求。</w:t>
            </w:r>
          </w:p>
          <w:p w14:paraId="7D8D0342">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8.点突变不低于1%，小片段插入缺失突变不低于5%，融合变异不低于3 reads。</w:t>
            </w:r>
          </w:p>
          <w:p w14:paraId="25C2EEE4">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9.对应试剂盒有效期不低于12个月。</w:t>
            </w:r>
          </w:p>
        </w:tc>
      </w:tr>
      <w:tr w14:paraId="5EA4B4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741" w:type="dxa"/>
            <w:vAlign w:val="center"/>
          </w:tcPr>
          <w:p w14:paraId="67851C22">
            <w:pPr>
              <w:widowControl/>
              <w:jc w:val="center"/>
              <w:textAlignment w:val="center"/>
              <w:rPr>
                <w:rFonts w:hint="default" w:ascii="Times New Roman" w:hAnsi="Times New Roman" w:eastAsia="宋体" w:cs="Times New Roman"/>
                <w:kern w:val="0"/>
                <w:sz w:val="20"/>
                <w:szCs w:val="21"/>
              </w:rPr>
            </w:pPr>
            <w:r>
              <w:rPr>
                <w:rFonts w:hint="default" w:ascii="Times New Roman" w:hAnsi="Times New Roman" w:eastAsia="宋体" w:cs="Times New Roman"/>
                <w:kern w:val="0"/>
                <w:sz w:val="20"/>
                <w:szCs w:val="21"/>
              </w:rPr>
              <w:t>13</w:t>
            </w:r>
          </w:p>
        </w:tc>
        <w:tc>
          <w:tcPr>
            <w:tcW w:w="1936" w:type="dxa"/>
            <w:vAlign w:val="center"/>
          </w:tcPr>
          <w:p w14:paraId="789538F0">
            <w:pPr>
              <w:rPr>
                <w:rFonts w:hint="default" w:ascii="Times New Roman" w:hAnsi="Times New Roman" w:eastAsia="宋体" w:cs="Times New Roman"/>
                <w:color w:val="000000"/>
                <w:kern w:val="0"/>
                <w:sz w:val="20"/>
                <w:szCs w:val="21"/>
              </w:rPr>
            </w:pPr>
            <w:r>
              <w:rPr>
                <w:rFonts w:hint="default" w:ascii="Times New Roman" w:hAnsi="Times New Roman" w:eastAsia="宋体" w:cs="Times New Roman"/>
                <w:color w:val="000000"/>
                <w:kern w:val="0"/>
                <w:sz w:val="20"/>
                <w:szCs w:val="21"/>
              </w:rPr>
              <w:t>血液肿瘤全外显子组测序（含CNV-seq）</w:t>
            </w:r>
          </w:p>
        </w:tc>
        <w:tc>
          <w:tcPr>
            <w:tcW w:w="7000" w:type="dxa"/>
            <w:vAlign w:val="center"/>
          </w:tcPr>
          <w:p w14:paraId="0FB6414E">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1.用途/检测范围：应用二代测序靶向捕获技术，对人类基因组全外显子区域约2万多个基因进行基因突变检测。</w:t>
            </w:r>
          </w:p>
          <w:p w14:paraId="5DF41963">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2.检测样本类型：骨髓/外周血</w:t>
            </w:r>
          </w:p>
          <w:p w14:paraId="787ED2D0">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3.方法学：基于高通量测序（NGS）。</w:t>
            </w:r>
          </w:p>
          <w:p w14:paraId="346A6C53">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4.试剂须具备医疗器械注册证或备案凭证。</w:t>
            </w:r>
          </w:p>
          <w:p w14:paraId="71CA823E">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1"/>
                <w:lang w:bidi="ar"/>
              </w:rPr>
              <w:t>5.</w:t>
            </w:r>
            <w:r>
              <w:rPr>
                <w:rFonts w:hint="default" w:ascii="Times New Roman" w:hAnsi="Times New Roman" w:eastAsia="宋体" w:cs="Times New Roman"/>
                <w:kern w:val="0"/>
                <w:sz w:val="20"/>
                <w:szCs w:val="24"/>
              </w:rPr>
              <w:t xml:space="preserve"> 能本地检验，分析系统能部署在院内指定服务器。</w:t>
            </w:r>
          </w:p>
          <w:p w14:paraId="00F3796A">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4"/>
                <w:lang w:bidi="ar"/>
              </w:rPr>
              <w:t>6</w:t>
            </w:r>
            <w:r>
              <w:rPr>
                <w:rFonts w:hint="default" w:ascii="Times New Roman" w:hAnsi="Times New Roman" w:eastAsia="宋体" w:cs="Times New Roman"/>
                <w:color w:val="000000"/>
                <w:kern w:val="0"/>
                <w:sz w:val="20"/>
                <w:szCs w:val="21"/>
                <w:lang w:bidi="ar"/>
              </w:rPr>
              <w:t>.</w:t>
            </w:r>
            <w:r>
              <w:rPr>
                <w:rFonts w:hint="default" w:ascii="Times New Roman" w:hAnsi="Times New Roman" w:eastAsia="宋体" w:cs="Times New Roman"/>
                <w:kern w:val="0"/>
                <w:sz w:val="20"/>
                <w:szCs w:val="24"/>
              </w:rPr>
              <w:t>需具备临床检测相关资质，若遇院内仪器故障，可协助提供检测服务。</w:t>
            </w:r>
          </w:p>
          <w:p w14:paraId="178598C6">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9.DNA最低投入量≥100ng即可满足建库要求，要求平均覆盖深度≥200×。</w:t>
            </w:r>
          </w:p>
          <w:p w14:paraId="7B429F6C">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10.对应试剂盒有效期不低于12个月。</w:t>
            </w:r>
          </w:p>
        </w:tc>
      </w:tr>
      <w:tr w14:paraId="09319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741" w:type="dxa"/>
            <w:vAlign w:val="center"/>
          </w:tcPr>
          <w:p w14:paraId="6F9DC459">
            <w:pPr>
              <w:widowControl/>
              <w:jc w:val="center"/>
              <w:textAlignment w:val="center"/>
              <w:rPr>
                <w:rFonts w:hint="default" w:ascii="Times New Roman" w:hAnsi="Times New Roman" w:eastAsia="宋体" w:cs="Times New Roman"/>
                <w:kern w:val="0"/>
                <w:sz w:val="20"/>
                <w:szCs w:val="21"/>
              </w:rPr>
            </w:pPr>
            <w:r>
              <w:rPr>
                <w:rFonts w:hint="default" w:ascii="Times New Roman" w:hAnsi="Times New Roman" w:eastAsia="宋体" w:cs="Times New Roman"/>
                <w:kern w:val="0"/>
                <w:sz w:val="20"/>
                <w:szCs w:val="21"/>
              </w:rPr>
              <w:t>14</w:t>
            </w:r>
          </w:p>
        </w:tc>
        <w:tc>
          <w:tcPr>
            <w:tcW w:w="1936" w:type="dxa"/>
            <w:vAlign w:val="center"/>
          </w:tcPr>
          <w:p w14:paraId="12827D0D">
            <w:pPr>
              <w:rPr>
                <w:rFonts w:hint="default" w:ascii="Times New Roman" w:hAnsi="Times New Roman" w:eastAsia="宋体" w:cs="Times New Roman"/>
                <w:color w:val="000000"/>
                <w:kern w:val="0"/>
                <w:sz w:val="20"/>
                <w:szCs w:val="21"/>
              </w:rPr>
            </w:pPr>
            <w:r>
              <w:rPr>
                <w:rFonts w:hint="default" w:ascii="Times New Roman" w:hAnsi="Times New Roman" w:eastAsia="宋体" w:cs="Times New Roman"/>
                <w:color w:val="000000"/>
                <w:kern w:val="0"/>
                <w:sz w:val="20"/>
                <w:szCs w:val="21"/>
              </w:rPr>
              <w:t>噬血细胞综合征（HLH）相关基因突变检测</w:t>
            </w:r>
          </w:p>
        </w:tc>
        <w:tc>
          <w:tcPr>
            <w:tcW w:w="7000" w:type="dxa"/>
            <w:vAlign w:val="center"/>
          </w:tcPr>
          <w:p w14:paraId="330412CC">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1.用途/检测范围：根据最新中国专家共识、文献及基因检测数据库，检测噬血细胞综合征及相关免疫缺陷基因63个基因的突变情况（全外显子），突变类型包括Indel、SNV、拷贝数异常。可以检测到几乎所有的（约99%）噬血细胞综合征患者。</w:t>
            </w:r>
          </w:p>
          <w:p w14:paraId="3E51E2FE">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2.检测样本类型：骨髓/外周血。</w:t>
            </w:r>
          </w:p>
          <w:p w14:paraId="667DFDAB">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3.方法学：基于高通量测序（NGS）。</w:t>
            </w:r>
          </w:p>
          <w:p w14:paraId="0A796955">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4.试剂须具备医疗器械注册证或备案凭证。</w:t>
            </w:r>
          </w:p>
          <w:p w14:paraId="6ECA9E0B">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1"/>
                <w:lang w:bidi="ar"/>
              </w:rPr>
              <w:t>5.</w:t>
            </w:r>
            <w:r>
              <w:rPr>
                <w:rFonts w:hint="default" w:ascii="Times New Roman" w:hAnsi="Times New Roman" w:eastAsia="宋体" w:cs="Times New Roman"/>
                <w:kern w:val="0"/>
                <w:sz w:val="20"/>
                <w:szCs w:val="24"/>
              </w:rPr>
              <w:t xml:space="preserve"> 能本地检验，分析系统能部署在院内指定服务器。</w:t>
            </w:r>
          </w:p>
          <w:p w14:paraId="6E1E06BA">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4"/>
                <w:lang w:bidi="ar"/>
              </w:rPr>
              <w:t>6</w:t>
            </w:r>
            <w:r>
              <w:rPr>
                <w:rFonts w:hint="default" w:ascii="Times New Roman" w:hAnsi="Times New Roman" w:eastAsia="宋体" w:cs="Times New Roman"/>
                <w:color w:val="000000"/>
                <w:kern w:val="0"/>
                <w:sz w:val="20"/>
                <w:szCs w:val="21"/>
                <w:lang w:bidi="ar"/>
              </w:rPr>
              <w:t>.</w:t>
            </w:r>
            <w:r>
              <w:rPr>
                <w:rFonts w:hint="default" w:ascii="Times New Roman" w:hAnsi="Times New Roman" w:eastAsia="宋体" w:cs="Times New Roman"/>
                <w:kern w:val="0"/>
                <w:sz w:val="20"/>
                <w:szCs w:val="24"/>
              </w:rPr>
              <w:t>需具备临床检测相关资质，若遇院内仪器故障，可协助提供检测服务。</w:t>
            </w:r>
          </w:p>
          <w:p w14:paraId="10F4FBCB">
            <w:pPr>
              <w:rPr>
                <w:rFonts w:hint="default" w:ascii="Times New Roman" w:hAnsi="Times New Roman" w:eastAsia="宋体" w:cs="Times New Roman"/>
                <w:kern w:val="0"/>
                <w:sz w:val="20"/>
                <w:szCs w:val="24"/>
              </w:rPr>
            </w:pPr>
            <w:r>
              <w:rPr>
                <w:rFonts w:hint="default" w:ascii="Times New Roman" w:hAnsi="Times New Roman" w:eastAsia="宋体" w:cs="Times New Roman"/>
                <w:kern w:val="0"/>
                <w:sz w:val="20"/>
                <w:szCs w:val="24"/>
              </w:rPr>
              <w:t>7.</w:t>
            </w:r>
            <w:r>
              <w:rPr>
                <w:rFonts w:hint="default" w:ascii="Times New Roman" w:hAnsi="Times New Roman" w:eastAsia="宋体" w:cs="Times New Roman"/>
                <w:kern w:val="0"/>
                <w:sz w:val="20"/>
                <w:szCs w:val="20"/>
              </w:rPr>
              <w:t xml:space="preserve"> </w:t>
            </w:r>
            <w:r>
              <w:rPr>
                <w:rFonts w:hint="default" w:ascii="Times New Roman" w:hAnsi="Times New Roman" w:eastAsia="宋体" w:cs="Times New Roman"/>
                <w:kern w:val="0"/>
                <w:sz w:val="20"/>
                <w:szCs w:val="24"/>
              </w:rPr>
              <w:t>DNA最低投入量≥250ng 即可进行建库，要求平均覆盖深度≥2000X。</w:t>
            </w:r>
          </w:p>
          <w:p w14:paraId="216C55B8">
            <w:pPr>
              <w:rPr>
                <w:rFonts w:hint="default" w:ascii="Times New Roman" w:hAnsi="Times New Roman" w:eastAsia="宋体" w:cs="Times New Roman"/>
                <w:kern w:val="0"/>
                <w:sz w:val="20"/>
                <w:szCs w:val="24"/>
              </w:rPr>
            </w:pPr>
            <w:r>
              <w:rPr>
                <w:rFonts w:hint="default" w:ascii="Times New Roman" w:hAnsi="Times New Roman" w:eastAsia="宋体" w:cs="Times New Roman"/>
                <w:kern w:val="0"/>
                <w:sz w:val="20"/>
                <w:szCs w:val="24"/>
              </w:rPr>
              <w:t>8.点突变频率不低于1%，小片段插入缺失突变不低于3%，结果应检出试剂盒检测基因范围内所包含的基因突变型别。</w:t>
            </w:r>
          </w:p>
          <w:p w14:paraId="54212572">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kern w:val="0"/>
                <w:sz w:val="20"/>
                <w:szCs w:val="24"/>
              </w:rPr>
              <w:t>9. 对应试剂盒有效期不低于12个月。</w:t>
            </w:r>
          </w:p>
        </w:tc>
      </w:tr>
      <w:tr w14:paraId="59A91B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741" w:type="dxa"/>
            <w:vAlign w:val="center"/>
          </w:tcPr>
          <w:p w14:paraId="4FAD3B22">
            <w:pPr>
              <w:widowControl/>
              <w:jc w:val="center"/>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15</w:t>
            </w:r>
          </w:p>
        </w:tc>
        <w:tc>
          <w:tcPr>
            <w:tcW w:w="1936" w:type="dxa"/>
            <w:vAlign w:val="center"/>
          </w:tcPr>
          <w:p w14:paraId="43C25E6B">
            <w:pPr>
              <w:rPr>
                <w:rFonts w:hint="default" w:ascii="Times New Roman" w:hAnsi="Times New Roman" w:eastAsia="宋体" w:cs="Times New Roman"/>
                <w:color w:val="000000"/>
                <w:kern w:val="0"/>
                <w:sz w:val="20"/>
                <w:szCs w:val="21"/>
              </w:rPr>
            </w:pPr>
            <w:r>
              <w:rPr>
                <w:rFonts w:hint="default" w:ascii="Times New Roman" w:hAnsi="Times New Roman" w:eastAsia="宋体" w:cs="Times New Roman"/>
                <w:color w:val="000000"/>
                <w:kern w:val="0"/>
                <w:sz w:val="20"/>
                <w:szCs w:val="21"/>
              </w:rPr>
              <w:t>HLA基因分型（SBT法）</w:t>
            </w:r>
          </w:p>
        </w:tc>
        <w:tc>
          <w:tcPr>
            <w:tcW w:w="7000" w:type="dxa"/>
            <w:vAlign w:val="center"/>
          </w:tcPr>
          <w:p w14:paraId="12AD0B43">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1.用途/检测范围：通过PCR-SBT（Sequencing Based T yping）技术， 获得明确的HLA-A/B/C/DRB1/DQB1/DPB1高分辨率分型结果。</w:t>
            </w:r>
            <w:r>
              <w:rPr>
                <w:rFonts w:hint="default" w:ascii="Times New Roman" w:hAnsi="Times New Roman" w:eastAsia="宋体" w:cs="Times New Roman"/>
                <w:color w:val="000000"/>
                <w:kern w:val="0"/>
                <w:sz w:val="20"/>
                <w:szCs w:val="21"/>
                <w:lang w:bidi="ar"/>
              </w:rPr>
              <w:br w:type="textWrapping"/>
            </w:r>
            <w:r>
              <w:rPr>
                <w:rFonts w:hint="default" w:ascii="Times New Roman" w:hAnsi="Times New Roman" w:eastAsia="宋体" w:cs="Times New Roman"/>
                <w:color w:val="000000"/>
                <w:kern w:val="0"/>
                <w:sz w:val="20"/>
                <w:szCs w:val="21"/>
                <w:lang w:bidi="ar"/>
              </w:rPr>
              <w:t>2.检测样本类型：骨髓/外周血</w:t>
            </w:r>
            <w:r>
              <w:rPr>
                <w:rFonts w:hint="default" w:ascii="Times New Roman" w:hAnsi="Times New Roman" w:eastAsia="宋体" w:cs="Times New Roman"/>
                <w:color w:val="000000"/>
                <w:kern w:val="0"/>
                <w:sz w:val="20"/>
                <w:szCs w:val="21"/>
                <w:lang w:bidi="ar"/>
              </w:rPr>
              <w:br w:type="textWrapping"/>
            </w:r>
            <w:r>
              <w:rPr>
                <w:rFonts w:hint="default" w:ascii="Times New Roman" w:hAnsi="Times New Roman" w:eastAsia="宋体" w:cs="Times New Roman"/>
                <w:color w:val="000000"/>
                <w:kern w:val="0"/>
                <w:sz w:val="20"/>
                <w:szCs w:val="21"/>
                <w:lang w:bidi="ar"/>
              </w:rPr>
              <w:t>3.方法学：基于PCR-SBT法。</w:t>
            </w:r>
          </w:p>
          <w:p w14:paraId="1395BB65">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4.试剂须具备医疗器械注册证或备案凭证。</w:t>
            </w:r>
          </w:p>
          <w:p w14:paraId="7242D20D">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1"/>
                <w:lang w:bidi="ar"/>
              </w:rPr>
              <w:t>5.</w:t>
            </w:r>
            <w:r>
              <w:rPr>
                <w:rFonts w:hint="default" w:ascii="Times New Roman" w:hAnsi="Times New Roman" w:eastAsia="宋体" w:cs="Times New Roman"/>
                <w:kern w:val="0"/>
                <w:sz w:val="20"/>
                <w:szCs w:val="24"/>
              </w:rPr>
              <w:t xml:space="preserve"> 能本地检验，分析系统能部署在院内指定服务器。</w:t>
            </w:r>
          </w:p>
          <w:p w14:paraId="08813E0D">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4"/>
                <w:lang w:bidi="ar"/>
              </w:rPr>
              <w:t>6</w:t>
            </w:r>
            <w:r>
              <w:rPr>
                <w:rFonts w:hint="default" w:ascii="Times New Roman" w:hAnsi="Times New Roman" w:eastAsia="宋体" w:cs="Times New Roman"/>
                <w:color w:val="000000"/>
                <w:kern w:val="0"/>
                <w:sz w:val="20"/>
                <w:szCs w:val="21"/>
                <w:lang w:bidi="ar"/>
              </w:rPr>
              <w:t>.</w:t>
            </w:r>
            <w:r>
              <w:rPr>
                <w:rFonts w:hint="default" w:ascii="Times New Roman" w:hAnsi="Times New Roman" w:eastAsia="宋体" w:cs="Times New Roman"/>
                <w:kern w:val="0"/>
                <w:sz w:val="20"/>
                <w:szCs w:val="24"/>
              </w:rPr>
              <w:t>需具备临床检测相关资质，若遇院内仪器故障，可协助提供检测服务。</w:t>
            </w:r>
          </w:p>
          <w:p w14:paraId="61363FFA">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7.</w:t>
            </w:r>
            <w:r>
              <w:rPr>
                <w:rFonts w:hint="default" w:ascii="Times New Roman" w:hAnsi="Times New Roman" w:eastAsia="宋体" w:cs="Times New Roman"/>
                <w:kern w:val="0"/>
                <w:sz w:val="20"/>
                <w:szCs w:val="20"/>
              </w:rPr>
              <w:t>对应</w:t>
            </w:r>
            <w:r>
              <w:rPr>
                <w:rFonts w:hint="default" w:ascii="Times New Roman" w:hAnsi="Times New Roman" w:eastAsia="宋体" w:cs="Times New Roman"/>
                <w:color w:val="000000"/>
                <w:kern w:val="0"/>
                <w:sz w:val="20"/>
                <w:szCs w:val="21"/>
                <w:lang w:bidi="ar"/>
              </w:rPr>
              <w:t>试剂盒有效期不低于12个月。</w:t>
            </w:r>
          </w:p>
        </w:tc>
      </w:tr>
      <w:tr w14:paraId="19249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741" w:type="dxa"/>
            <w:vAlign w:val="center"/>
          </w:tcPr>
          <w:p w14:paraId="477FA634">
            <w:pPr>
              <w:widowControl/>
              <w:jc w:val="center"/>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16</w:t>
            </w:r>
          </w:p>
        </w:tc>
        <w:tc>
          <w:tcPr>
            <w:tcW w:w="1936" w:type="dxa"/>
            <w:vAlign w:val="center"/>
          </w:tcPr>
          <w:p w14:paraId="0717E2A0">
            <w:pPr>
              <w:rPr>
                <w:rFonts w:hint="default" w:ascii="Times New Roman" w:hAnsi="Times New Roman" w:eastAsia="宋体" w:cs="Times New Roman"/>
                <w:color w:val="000000"/>
                <w:kern w:val="0"/>
                <w:sz w:val="20"/>
                <w:szCs w:val="21"/>
              </w:rPr>
            </w:pPr>
            <w:r>
              <w:rPr>
                <w:rFonts w:hint="default" w:ascii="Times New Roman" w:hAnsi="Times New Roman" w:eastAsia="宋体" w:cs="Times New Roman"/>
                <w:color w:val="000000"/>
                <w:kern w:val="0"/>
                <w:sz w:val="20"/>
                <w:szCs w:val="21"/>
              </w:rPr>
              <w:t>全血TCA检测（PCR-STR法）</w:t>
            </w:r>
          </w:p>
        </w:tc>
        <w:tc>
          <w:tcPr>
            <w:tcW w:w="7000" w:type="dxa"/>
            <w:vAlign w:val="center"/>
          </w:tcPr>
          <w:p w14:paraId="3A5DBD69">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1.用途/检测范围：利用荧光定量PCR法对移植术后微嵌合进行准确定量检测</w:t>
            </w:r>
            <w:r>
              <w:rPr>
                <w:rFonts w:hint="default" w:ascii="Times New Roman" w:hAnsi="Times New Roman" w:eastAsia="宋体" w:cs="Times New Roman"/>
                <w:color w:val="000000"/>
                <w:kern w:val="0"/>
                <w:sz w:val="20"/>
                <w:szCs w:val="21"/>
                <w:lang w:bidi="ar"/>
              </w:rPr>
              <w:br w:type="textWrapping"/>
            </w:r>
            <w:r>
              <w:rPr>
                <w:rFonts w:hint="default" w:ascii="Times New Roman" w:hAnsi="Times New Roman" w:eastAsia="宋体" w:cs="Times New Roman"/>
                <w:color w:val="000000"/>
                <w:kern w:val="0"/>
                <w:sz w:val="20"/>
                <w:szCs w:val="21"/>
                <w:lang w:bidi="ar"/>
              </w:rPr>
              <w:t>2.检测样本类型：骨髓/外周血</w:t>
            </w:r>
            <w:r>
              <w:rPr>
                <w:rFonts w:hint="default" w:ascii="Times New Roman" w:hAnsi="Times New Roman" w:eastAsia="宋体" w:cs="Times New Roman"/>
                <w:color w:val="000000"/>
                <w:kern w:val="0"/>
                <w:sz w:val="20"/>
                <w:szCs w:val="21"/>
                <w:lang w:bidi="ar"/>
              </w:rPr>
              <w:br w:type="textWrapping"/>
            </w:r>
            <w:r>
              <w:rPr>
                <w:rFonts w:hint="default" w:ascii="Times New Roman" w:hAnsi="Times New Roman" w:eastAsia="宋体" w:cs="Times New Roman"/>
                <w:color w:val="000000"/>
                <w:kern w:val="0"/>
                <w:sz w:val="20"/>
                <w:szCs w:val="21"/>
                <w:lang w:bidi="ar"/>
              </w:rPr>
              <w:t>3.方法学：基于</w:t>
            </w:r>
            <w:r>
              <w:rPr>
                <w:rFonts w:hint="default" w:ascii="Times New Roman" w:hAnsi="Times New Roman" w:eastAsia="宋体" w:cs="Times New Roman"/>
                <w:color w:val="000000" w:themeColor="text1"/>
                <w:kern w:val="0"/>
                <w:sz w:val="20"/>
                <w:szCs w:val="21"/>
                <w:lang w:bidi="ar"/>
                <w14:textFill>
                  <w14:solidFill>
                    <w14:schemeClr w14:val="tx1"/>
                  </w14:solidFill>
                </w14:textFill>
              </w:rPr>
              <w:t>PCR-STR法</w:t>
            </w:r>
            <w:r>
              <w:rPr>
                <w:rFonts w:hint="default" w:ascii="Times New Roman" w:hAnsi="Times New Roman" w:eastAsia="宋体" w:cs="Times New Roman"/>
                <w:color w:val="000000"/>
                <w:kern w:val="0"/>
                <w:sz w:val="20"/>
                <w:szCs w:val="21"/>
                <w:lang w:bidi="ar"/>
              </w:rPr>
              <w:t>。</w:t>
            </w:r>
          </w:p>
          <w:p w14:paraId="39384235">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4.试剂须具备医疗器械注册证或备案凭证。</w:t>
            </w:r>
          </w:p>
          <w:p w14:paraId="3E50B5A8">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1"/>
                <w:lang w:bidi="ar"/>
              </w:rPr>
              <w:t>5.</w:t>
            </w:r>
            <w:r>
              <w:rPr>
                <w:rFonts w:hint="default" w:ascii="Times New Roman" w:hAnsi="Times New Roman" w:eastAsia="宋体" w:cs="Times New Roman"/>
                <w:kern w:val="0"/>
                <w:sz w:val="20"/>
                <w:szCs w:val="24"/>
              </w:rPr>
              <w:t xml:space="preserve"> 能本地检验，分析系统能部署在院内指定服务器。</w:t>
            </w:r>
          </w:p>
          <w:p w14:paraId="3955D608">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4"/>
                <w:lang w:bidi="ar"/>
              </w:rPr>
              <w:t>6</w:t>
            </w:r>
            <w:r>
              <w:rPr>
                <w:rFonts w:hint="default" w:ascii="Times New Roman" w:hAnsi="Times New Roman" w:eastAsia="宋体" w:cs="Times New Roman"/>
                <w:color w:val="000000"/>
                <w:kern w:val="0"/>
                <w:sz w:val="20"/>
                <w:szCs w:val="21"/>
                <w:lang w:bidi="ar"/>
              </w:rPr>
              <w:t>.</w:t>
            </w:r>
            <w:r>
              <w:rPr>
                <w:rFonts w:hint="default" w:ascii="Times New Roman" w:hAnsi="Times New Roman" w:eastAsia="宋体" w:cs="Times New Roman"/>
                <w:kern w:val="0"/>
                <w:sz w:val="20"/>
                <w:szCs w:val="24"/>
              </w:rPr>
              <w:t>需具备临床检测相关资质，若遇院内仪器故障，可协助提供检测服务。</w:t>
            </w:r>
          </w:p>
          <w:p w14:paraId="2D00CF3E">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7.</w:t>
            </w:r>
            <w:r>
              <w:rPr>
                <w:rFonts w:hint="default" w:ascii="Times New Roman" w:hAnsi="Times New Roman" w:eastAsia="宋体" w:cs="Times New Roman"/>
                <w:kern w:val="0"/>
                <w:sz w:val="20"/>
                <w:szCs w:val="20"/>
              </w:rPr>
              <w:t>对应</w:t>
            </w:r>
            <w:r>
              <w:rPr>
                <w:rFonts w:hint="default" w:ascii="Times New Roman" w:hAnsi="Times New Roman" w:eastAsia="宋体" w:cs="Times New Roman"/>
                <w:color w:val="000000"/>
                <w:kern w:val="0"/>
                <w:sz w:val="20"/>
                <w:szCs w:val="21"/>
                <w:lang w:bidi="ar"/>
              </w:rPr>
              <w:t>试剂盒有效期不低于12个月。</w:t>
            </w:r>
          </w:p>
        </w:tc>
      </w:tr>
      <w:tr w14:paraId="59B46C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741" w:type="dxa"/>
            <w:vAlign w:val="center"/>
          </w:tcPr>
          <w:p w14:paraId="2AE63580">
            <w:pPr>
              <w:widowControl/>
              <w:jc w:val="center"/>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17</w:t>
            </w:r>
          </w:p>
        </w:tc>
        <w:tc>
          <w:tcPr>
            <w:tcW w:w="1936" w:type="dxa"/>
            <w:vAlign w:val="center"/>
          </w:tcPr>
          <w:p w14:paraId="5C9F27C5">
            <w:pPr>
              <w:rPr>
                <w:rFonts w:hint="default" w:ascii="Times New Roman" w:hAnsi="Times New Roman" w:eastAsia="宋体" w:cs="Times New Roman"/>
                <w:color w:val="000000"/>
                <w:kern w:val="0"/>
                <w:sz w:val="20"/>
                <w:szCs w:val="21"/>
              </w:rPr>
            </w:pPr>
            <w:r>
              <w:rPr>
                <w:rFonts w:hint="default" w:ascii="Times New Roman" w:hAnsi="Times New Roman" w:eastAsia="宋体" w:cs="Times New Roman"/>
                <w:color w:val="000000"/>
                <w:kern w:val="0"/>
                <w:sz w:val="20"/>
                <w:szCs w:val="21"/>
              </w:rPr>
              <w:t>全血TCA检测（数字PCR法）</w:t>
            </w:r>
          </w:p>
        </w:tc>
        <w:tc>
          <w:tcPr>
            <w:tcW w:w="7000" w:type="dxa"/>
            <w:vAlign w:val="center"/>
          </w:tcPr>
          <w:p w14:paraId="60C59A37">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1.用途/检测范围：利用数字PCR法对移植术后微嵌合进行准确定量检测</w:t>
            </w:r>
            <w:r>
              <w:rPr>
                <w:rFonts w:hint="default" w:ascii="Times New Roman" w:hAnsi="Times New Roman" w:eastAsia="宋体" w:cs="Times New Roman"/>
                <w:color w:val="000000"/>
                <w:kern w:val="0"/>
                <w:sz w:val="20"/>
                <w:szCs w:val="21"/>
                <w:lang w:bidi="ar"/>
              </w:rPr>
              <w:br w:type="textWrapping"/>
            </w:r>
            <w:r>
              <w:rPr>
                <w:rFonts w:hint="default" w:ascii="Times New Roman" w:hAnsi="Times New Roman" w:eastAsia="宋体" w:cs="Times New Roman"/>
                <w:color w:val="000000"/>
                <w:kern w:val="0"/>
                <w:sz w:val="20"/>
                <w:szCs w:val="21"/>
                <w:lang w:bidi="ar"/>
              </w:rPr>
              <w:t>2.检测样本类型：骨髓/外周血</w:t>
            </w:r>
            <w:r>
              <w:rPr>
                <w:rFonts w:hint="default" w:ascii="Times New Roman" w:hAnsi="Times New Roman" w:eastAsia="宋体" w:cs="Times New Roman"/>
                <w:color w:val="000000"/>
                <w:kern w:val="0"/>
                <w:sz w:val="20"/>
                <w:szCs w:val="21"/>
                <w:lang w:bidi="ar"/>
              </w:rPr>
              <w:br w:type="textWrapping"/>
            </w:r>
            <w:r>
              <w:rPr>
                <w:rFonts w:hint="default" w:ascii="Times New Roman" w:hAnsi="Times New Roman" w:eastAsia="宋体" w:cs="Times New Roman"/>
                <w:color w:val="000000"/>
                <w:kern w:val="0"/>
                <w:sz w:val="20"/>
                <w:szCs w:val="21"/>
                <w:lang w:bidi="ar"/>
              </w:rPr>
              <w:t>3.方法学：基于数字PCR法。</w:t>
            </w:r>
          </w:p>
          <w:p w14:paraId="17BA0E2B">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4.试剂须具备医疗器械注册证或备案凭证。</w:t>
            </w:r>
          </w:p>
          <w:p w14:paraId="57BE4775">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1"/>
                <w:lang w:bidi="ar"/>
              </w:rPr>
              <w:t>5.</w:t>
            </w:r>
            <w:r>
              <w:rPr>
                <w:rFonts w:hint="default" w:ascii="Times New Roman" w:hAnsi="Times New Roman" w:eastAsia="宋体" w:cs="Times New Roman"/>
                <w:kern w:val="0"/>
                <w:sz w:val="20"/>
                <w:szCs w:val="24"/>
              </w:rPr>
              <w:t xml:space="preserve"> 能本地检验，分析系统能部署在院内指定服务器。</w:t>
            </w:r>
          </w:p>
          <w:p w14:paraId="39C84A6A">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4"/>
                <w:lang w:bidi="ar"/>
              </w:rPr>
              <w:t>6</w:t>
            </w:r>
            <w:r>
              <w:rPr>
                <w:rFonts w:hint="default" w:ascii="Times New Roman" w:hAnsi="Times New Roman" w:eastAsia="宋体" w:cs="Times New Roman"/>
                <w:color w:val="000000"/>
                <w:kern w:val="0"/>
                <w:sz w:val="20"/>
                <w:szCs w:val="21"/>
                <w:lang w:bidi="ar"/>
              </w:rPr>
              <w:t>.</w:t>
            </w:r>
            <w:r>
              <w:rPr>
                <w:rFonts w:hint="default" w:ascii="Times New Roman" w:hAnsi="Times New Roman" w:eastAsia="宋体" w:cs="Times New Roman"/>
                <w:kern w:val="0"/>
                <w:sz w:val="20"/>
                <w:szCs w:val="24"/>
              </w:rPr>
              <w:t>需具备临床检测相关资质，若遇院内仪器故障，可协助提供检测服务。</w:t>
            </w:r>
          </w:p>
          <w:p w14:paraId="53DBA876">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7.</w:t>
            </w:r>
            <w:r>
              <w:rPr>
                <w:rFonts w:hint="default" w:ascii="Times New Roman" w:hAnsi="Times New Roman" w:eastAsia="宋体" w:cs="Times New Roman"/>
                <w:kern w:val="0"/>
                <w:sz w:val="20"/>
                <w:szCs w:val="20"/>
              </w:rPr>
              <w:t>对应</w:t>
            </w:r>
            <w:r>
              <w:rPr>
                <w:rFonts w:hint="default" w:ascii="Times New Roman" w:hAnsi="Times New Roman" w:eastAsia="宋体" w:cs="Times New Roman"/>
                <w:color w:val="000000"/>
                <w:kern w:val="0"/>
                <w:sz w:val="20"/>
                <w:szCs w:val="21"/>
                <w:lang w:bidi="ar"/>
              </w:rPr>
              <w:t>试剂盒有效期不低于12个月。</w:t>
            </w:r>
          </w:p>
        </w:tc>
      </w:tr>
      <w:tr w14:paraId="2FF6E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741" w:type="dxa"/>
            <w:vAlign w:val="center"/>
          </w:tcPr>
          <w:p w14:paraId="79C626B5">
            <w:pPr>
              <w:widowControl/>
              <w:jc w:val="center"/>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18</w:t>
            </w:r>
          </w:p>
        </w:tc>
        <w:tc>
          <w:tcPr>
            <w:tcW w:w="1936" w:type="dxa"/>
            <w:vAlign w:val="center"/>
          </w:tcPr>
          <w:p w14:paraId="41C7F72C">
            <w:pPr>
              <w:rPr>
                <w:rFonts w:hint="default" w:ascii="Times New Roman" w:hAnsi="Times New Roman" w:eastAsia="宋体" w:cs="Times New Roman"/>
                <w:color w:val="000000"/>
                <w:kern w:val="0"/>
                <w:sz w:val="20"/>
                <w:szCs w:val="21"/>
              </w:rPr>
            </w:pPr>
            <w:r>
              <w:rPr>
                <w:rFonts w:hint="default" w:ascii="Times New Roman" w:hAnsi="Times New Roman" w:eastAsia="宋体" w:cs="Times New Roman"/>
                <w:color w:val="000000"/>
                <w:kern w:val="0"/>
                <w:sz w:val="20"/>
                <w:szCs w:val="21"/>
              </w:rPr>
              <w:t>STR嵌合率检测</w:t>
            </w:r>
          </w:p>
        </w:tc>
        <w:tc>
          <w:tcPr>
            <w:tcW w:w="7000" w:type="dxa"/>
            <w:vAlign w:val="center"/>
          </w:tcPr>
          <w:p w14:paraId="2F6231EB">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1.用途/检测范围：通过荧光标记STR复合扩增技术， 一次性检测15个常染色体STR基因座和1个性染色体STR基因座， 可用于不同来源DNA的分子分型</w:t>
            </w:r>
            <w:r>
              <w:rPr>
                <w:rFonts w:hint="default" w:ascii="Times New Roman" w:hAnsi="Times New Roman" w:eastAsia="宋体" w:cs="Times New Roman"/>
                <w:color w:val="000000"/>
                <w:kern w:val="0"/>
                <w:sz w:val="20"/>
                <w:szCs w:val="21"/>
                <w:lang w:bidi="ar"/>
              </w:rPr>
              <w:br w:type="textWrapping"/>
            </w:r>
            <w:r>
              <w:rPr>
                <w:rFonts w:hint="default" w:ascii="Times New Roman" w:hAnsi="Times New Roman" w:eastAsia="宋体" w:cs="Times New Roman"/>
                <w:color w:val="000000"/>
                <w:kern w:val="0"/>
                <w:sz w:val="20"/>
                <w:szCs w:val="21"/>
                <w:lang w:bidi="ar"/>
              </w:rPr>
              <w:t>2.检测样本类型：骨髓/外周血</w:t>
            </w:r>
            <w:r>
              <w:rPr>
                <w:rFonts w:hint="default" w:ascii="Times New Roman" w:hAnsi="Times New Roman" w:eastAsia="宋体" w:cs="Times New Roman"/>
                <w:color w:val="000000"/>
                <w:kern w:val="0"/>
                <w:sz w:val="20"/>
                <w:szCs w:val="21"/>
                <w:lang w:bidi="ar"/>
              </w:rPr>
              <w:br w:type="textWrapping"/>
            </w:r>
            <w:r>
              <w:rPr>
                <w:rFonts w:hint="default" w:ascii="Times New Roman" w:hAnsi="Times New Roman" w:eastAsia="宋体" w:cs="Times New Roman"/>
                <w:color w:val="000000"/>
                <w:kern w:val="0"/>
                <w:sz w:val="20"/>
                <w:szCs w:val="21"/>
                <w:lang w:bidi="ar"/>
              </w:rPr>
              <w:t>3.方法学：基于荧光PCR毛细管电泳法。</w:t>
            </w:r>
          </w:p>
          <w:p w14:paraId="6521E387">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4.试剂须具备医疗器械注册证或备案凭证。</w:t>
            </w:r>
          </w:p>
          <w:p w14:paraId="6022A61B">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1"/>
                <w:lang w:bidi="ar"/>
              </w:rPr>
              <w:t>5.</w:t>
            </w:r>
            <w:r>
              <w:rPr>
                <w:rFonts w:hint="default" w:ascii="Times New Roman" w:hAnsi="Times New Roman" w:eastAsia="宋体" w:cs="Times New Roman"/>
                <w:kern w:val="0"/>
                <w:sz w:val="20"/>
                <w:szCs w:val="24"/>
              </w:rPr>
              <w:t xml:space="preserve"> 能本地检验，分析系统能部署在院内指定服务器。</w:t>
            </w:r>
          </w:p>
          <w:p w14:paraId="2C4B4183">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4"/>
                <w:lang w:bidi="ar"/>
              </w:rPr>
              <w:t>6</w:t>
            </w:r>
            <w:r>
              <w:rPr>
                <w:rFonts w:hint="default" w:ascii="Times New Roman" w:hAnsi="Times New Roman" w:eastAsia="宋体" w:cs="Times New Roman"/>
                <w:color w:val="000000"/>
                <w:kern w:val="0"/>
                <w:sz w:val="20"/>
                <w:szCs w:val="21"/>
                <w:lang w:bidi="ar"/>
              </w:rPr>
              <w:t>.</w:t>
            </w:r>
            <w:r>
              <w:rPr>
                <w:rFonts w:hint="default" w:ascii="Times New Roman" w:hAnsi="Times New Roman" w:eastAsia="宋体" w:cs="Times New Roman"/>
                <w:kern w:val="0"/>
                <w:sz w:val="20"/>
                <w:szCs w:val="24"/>
              </w:rPr>
              <w:t>需具备临床检测相关资质，若遇院内仪器故障，可协助提供检测服务。</w:t>
            </w:r>
          </w:p>
          <w:p w14:paraId="5E1D010D">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7.</w:t>
            </w:r>
            <w:r>
              <w:rPr>
                <w:rFonts w:hint="default" w:ascii="Times New Roman" w:hAnsi="Times New Roman" w:eastAsia="宋体" w:cs="Times New Roman"/>
                <w:kern w:val="0"/>
                <w:sz w:val="20"/>
                <w:szCs w:val="20"/>
              </w:rPr>
              <w:t>对应</w:t>
            </w:r>
            <w:r>
              <w:rPr>
                <w:rFonts w:hint="default" w:ascii="Times New Roman" w:hAnsi="Times New Roman" w:eastAsia="宋体" w:cs="Times New Roman"/>
                <w:color w:val="000000"/>
                <w:kern w:val="0"/>
                <w:sz w:val="20"/>
                <w:szCs w:val="21"/>
                <w:lang w:bidi="ar"/>
              </w:rPr>
              <w:t>试剂盒有效期不低于12个月。</w:t>
            </w:r>
          </w:p>
        </w:tc>
      </w:tr>
      <w:tr w14:paraId="54652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741" w:type="dxa"/>
            <w:vAlign w:val="center"/>
          </w:tcPr>
          <w:p w14:paraId="2D7CE67D">
            <w:pPr>
              <w:widowControl/>
              <w:jc w:val="center"/>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19</w:t>
            </w:r>
          </w:p>
        </w:tc>
        <w:tc>
          <w:tcPr>
            <w:tcW w:w="1936" w:type="dxa"/>
            <w:vAlign w:val="center"/>
          </w:tcPr>
          <w:p w14:paraId="2BA30761">
            <w:pPr>
              <w:rPr>
                <w:rFonts w:hint="default" w:ascii="Times New Roman" w:hAnsi="Times New Roman" w:eastAsia="宋体" w:cs="Times New Roman"/>
                <w:color w:val="000000"/>
                <w:kern w:val="0"/>
                <w:sz w:val="20"/>
                <w:szCs w:val="21"/>
              </w:rPr>
            </w:pPr>
            <w:r>
              <w:rPr>
                <w:rFonts w:hint="default" w:ascii="Times New Roman" w:hAnsi="Times New Roman" w:eastAsia="宋体" w:cs="Times New Roman"/>
                <w:color w:val="000000"/>
                <w:kern w:val="0"/>
                <w:sz w:val="20"/>
                <w:szCs w:val="21"/>
              </w:rPr>
              <w:t>供者来源游离DNA检测</w:t>
            </w:r>
          </w:p>
        </w:tc>
        <w:tc>
          <w:tcPr>
            <w:tcW w:w="7000" w:type="dxa"/>
            <w:vAlign w:val="center"/>
          </w:tcPr>
          <w:p w14:paraId="285ED008">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1.用途/检测范围：应用二代测序靶向捕获技术，定量分析受者外周血浆中供者来源的游离DNA（dd-cfDNA）水平，用于评估移植器官的排斥反应、感染等损伤状态，辅助排斥反应的早期诊断与疗效监测。</w:t>
            </w:r>
            <w:r>
              <w:rPr>
                <w:rFonts w:hint="default" w:ascii="Times New Roman" w:hAnsi="Times New Roman" w:eastAsia="宋体" w:cs="Times New Roman"/>
                <w:color w:val="000000"/>
                <w:kern w:val="0"/>
                <w:sz w:val="20"/>
                <w:szCs w:val="21"/>
                <w:lang w:bidi="ar"/>
              </w:rPr>
              <w:br w:type="textWrapping"/>
            </w:r>
            <w:r>
              <w:rPr>
                <w:rFonts w:hint="default" w:ascii="Times New Roman" w:hAnsi="Times New Roman" w:eastAsia="宋体" w:cs="Times New Roman"/>
                <w:color w:val="000000"/>
                <w:kern w:val="0"/>
                <w:sz w:val="20"/>
                <w:szCs w:val="21"/>
                <w:lang w:bidi="ar"/>
              </w:rPr>
              <w:t>2.检测样本类型：血浆/尿液/石蜡包埋组织</w:t>
            </w:r>
            <w:r>
              <w:rPr>
                <w:rFonts w:hint="default" w:ascii="Times New Roman" w:hAnsi="Times New Roman" w:eastAsia="宋体" w:cs="Times New Roman"/>
                <w:color w:val="000000"/>
                <w:kern w:val="0"/>
                <w:sz w:val="20"/>
                <w:szCs w:val="21"/>
                <w:lang w:bidi="ar"/>
              </w:rPr>
              <w:br w:type="textWrapping"/>
            </w:r>
            <w:r>
              <w:rPr>
                <w:rFonts w:hint="default" w:ascii="Times New Roman" w:hAnsi="Times New Roman" w:eastAsia="宋体" w:cs="Times New Roman"/>
                <w:color w:val="000000"/>
                <w:kern w:val="0"/>
                <w:sz w:val="20"/>
                <w:szCs w:val="21"/>
                <w:lang w:bidi="ar"/>
              </w:rPr>
              <w:t>3.方法学：基于高通量测序（NGS）。</w:t>
            </w:r>
          </w:p>
          <w:p w14:paraId="585F9ACC">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4.试剂须具备医疗器械注册证或备案凭证。</w:t>
            </w:r>
          </w:p>
          <w:p w14:paraId="66C2606B">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1"/>
                <w:lang w:bidi="ar"/>
              </w:rPr>
              <w:t>5.</w:t>
            </w:r>
            <w:r>
              <w:rPr>
                <w:rFonts w:hint="default" w:ascii="Times New Roman" w:hAnsi="Times New Roman" w:eastAsia="宋体" w:cs="Times New Roman"/>
                <w:kern w:val="0"/>
                <w:sz w:val="20"/>
                <w:szCs w:val="24"/>
              </w:rPr>
              <w:t>能本地检验，分析系统能部署在院内指定服务器。</w:t>
            </w:r>
          </w:p>
          <w:p w14:paraId="49F9E0AE">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4"/>
                <w:lang w:bidi="ar"/>
              </w:rPr>
              <w:t>6</w:t>
            </w:r>
            <w:r>
              <w:rPr>
                <w:rFonts w:hint="default" w:ascii="Times New Roman" w:hAnsi="Times New Roman" w:eastAsia="宋体" w:cs="Times New Roman"/>
                <w:color w:val="000000"/>
                <w:kern w:val="0"/>
                <w:sz w:val="20"/>
                <w:szCs w:val="21"/>
                <w:lang w:bidi="ar"/>
              </w:rPr>
              <w:t>.</w:t>
            </w:r>
            <w:r>
              <w:rPr>
                <w:rFonts w:hint="default" w:ascii="Times New Roman" w:hAnsi="Times New Roman" w:eastAsia="宋体" w:cs="Times New Roman"/>
                <w:kern w:val="0"/>
                <w:sz w:val="20"/>
                <w:szCs w:val="24"/>
              </w:rPr>
              <w:t>需具备临床检测相关资质，若遇院内仪器故障，可协助提供检测服务。</w:t>
            </w:r>
          </w:p>
          <w:p w14:paraId="122D5E10">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7.结合分子标签技术(UMI)，可满足低频突变检测的需求;</w:t>
            </w:r>
          </w:p>
          <w:p w14:paraId="717E4009">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8．样本起始量低，文库转化率高;</w:t>
            </w:r>
          </w:p>
          <w:p w14:paraId="1FA402E2">
            <w:pPr>
              <w:widowControl/>
              <w:jc w:val="left"/>
              <w:textAlignment w:val="center"/>
              <w:rPr>
                <w:rFonts w:hint="eastAsia" w:ascii="Times New Roman" w:hAnsi="Times New Roman" w:eastAsia="宋体" w:cs="Times New Roman"/>
                <w:color w:val="000000"/>
                <w:kern w:val="0"/>
                <w:sz w:val="20"/>
                <w:szCs w:val="21"/>
                <w:lang w:val="en-US" w:eastAsia="zh-CN" w:bidi="ar"/>
              </w:rPr>
            </w:pPr>
            <w:r>
              <w:rPr>
                <w:rFonts w:hint="default" w:ascii="Times New Roman" w:hAnsi="Times New Roman" w:eastAsia="宋体" w:cs="Times New Roman"/>
                <w:color w:val="000000"/>
                <w:kern w:val="0"/>
                <w:sz w:val="20"/>
                <w:szCs w:val="21"/>
                <w:lang w:bidi="ar"/>
              </w:rPr>
              <w:t>9.</w:t>
            </w:r>
            <w:r>
              <w:rPr>
                <w:rFonts w:hint="default" w:ascii="Times New Roman" w:hAnsi="Times New Roman" w:eastAsia="宋体" w:cs="Times New Roman"/>
                <w:kern w:val="0"/>
                <w:sz w:val="20"/>
                <w:szCs w:val="20"/>
              </w:rPr>
              <w:t xml:space="preserve"> </w:t>
            </w:r>
            <w:r>
              <w:rPr>
                <w:rFonts w:hint="default" w:ascii="Times New Roman" w:hAnsi="Times New Roman" w:eastAsia="宋体" w:cs="Times New Roman"/>
                <w:color w:val="000000"/>
                <w:kern w:val="0"/>
                <w:sz w:val="20"/>
                <w:szCs w:val="21"/>
                <w:lang w:bidi="ar"/>
              </w:rPr>
              <w:t>搭配lllumina、MGI平台UDI接头，有效减少数据串扰</w:t>
            </w:r>
            <w:r>
              <w:rPr>
                <w:rFonts w:hint="eastAsia" w:cs="Times New Roman"/>
                <w:color w:val="000000"/>
                <w:kern w:val="0"/>
                <w:sz w:val="20"/>
                <w:szCs w:val="21"/>
                <w:lang w:val="en-US" w:eastAsia="zh-CN" w:bidi="ar"/>
              </w:rPr>
              <w:t>.</w:t>
            </w:r>
          </w:p>
        </w:tc>
      </w:tr>
      <w:tr w14:paraId="3E8111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741" w:type="dxa"/>
            <w:vAlign w:val="center"/>
          </w:tcPr>
          <w:p w14:paraId="480181A7">
            <w:pPr>
              <w:widowControl/>
              <w:jc w:val="center"/>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20</w:t>
            </w:r>
          </w:p>
        </w:tc>
        <w:tc>
          <w:tcPr>
            <w:tcW w:w="1936" w:type="dxa"/>
            <w:vAlign w:val="center"/>
          </w:tcPr>
          <w:p w14:paraId="7CD7B7E2">
            <w:pPr>
              <w:rPr>
                <w:rFonts w:hint="default" w:ascii="Times New Roman" w:hAnsi="Times New Roman" w:eastAsia="宋体" w:cs="Times New Roman"/>
                <w:color w:val="000000"/>
                <w:kern w:val="0"/>
                <w:sz w:val="20"/>
                <w:szCs w:val="21"/>
                <w:highlight w:val="yellow"/>
              </w:rPr>
            </w:pPr>
            <w:r>
              <w:rPr>
                <w:rFonts w:hint="default" w:ascii="Times New Roman" w:hAnsi="Times New Roman" w:eastAsia="宋体" w:cs="Times New Roman"/>
                <w:color w:val="000000"/>
                <w:kern w:val="0"/>
                <w:sz w:val="20"/>
                <w:szCs w:val="21"/>
              </w:rPr>
              <w:t>HLA-I类特异性抗体检测</w:t>
            </w:r>
          </w:p>
        </w:tc>
        <w:tc>
          <w:tcPr>
            <w:tcW w:w="7000" w:type="dxa"/>
            <w:vAlign w:val="center"/>
          </w:tcPr>
          <w:p w14:paraId="7AB65F98">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1.用途/检测范围：通过荧光标记STR复合扩增技术， 一次性检测15个常染色体STR基因座和1个性染色体STR基因座， 可用于不同来源DNA的分子分型</w:t>
            </w:r>
            <w:r>
              <w:rPr>
                <w:rFonts w:hint="default" w:ascii="Times New Roman" w:hAnsi="Times New Roman" w:eastAsia="宋体" w:cs="Times New Roman"/>
                <w:color w:val="000000"/>
                <w:kern w:val="0"/>
                <w:sz w:val="20"/>
                <w:szCs w:val="21"/>
                <w:lang w:bidi="ar"/>
              </w:rPr>
              <w:br w:type="textWrapping"/>
            </w:r>
            <w:r>
              <w:rPr>
                <w:rFonts w:hint="default" w:ascii="Times New Roman" w:hAnsi="Times New Roman" w:eastAsia="宋体" w:cs="Times New Roman"/>
                <w:color w:val="000000"/>
                <w:kern w:val="0"/>
                <w:sz w:val="20"/>
                <w:szCs w:val="21"/>
                <w:lang w:bidi="ar"/>
              </w:rPr>
              <w:t>2.检测样本类型：血清或血浆</w:t>
            </w:r>
            <w:r>
              <w:rPr>
                <w:rFonts w:hint="default" w:ascii="Times New Roman" w:hAnsi="Times New Roman" w:eastAsia="宋体" w:cs="Times New Roman"/>
                <w:color w:val="000000"/>
                <w:kern w:val="0"/>
                <w:sz w:val="20"/>
                <w:szCs w:val="21"/>
                <w:lang w:bidi="ar"/>
              </w:rPr>
              <w:br w:type="textWrapping"/>
            </w:r>
            <w:r>
              <w:rPr>
                <w:rFonts w:hint="default" w:ascii="Times New Roman" w:hAnsi="Times New Roman" w:eastAsia="宋体" w:cs="Times New Roman"/>
                <w:color w:val="000000"/>
                <w:kern w:val="0"/>
                <w:sz w:val="20"/>
                <w:szCs w:val="21"/>
                <w:lang w:bidi="ar"/>
              </w:rPr>
              <w:t>3.方法学：液相芯片技术。</w:t>
            </w:r>
          </w:p>
          <w:p w14:paraId="417E4C38">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4.试剂须具备医疗器械注册证或备案凭证。</w:t>
            </w:r>
          </w:p>
          <w:p w14:paraId="253EDFE1">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1"/>
                <w:lang w:bidi="ar"/>
              </w:rPr>
              <w:t>5.</w:t>
            </w:r>
            <w:r>
              <w:rPr>
                <w:rFonts w:hint="default" w:ascii="Times New Roman" w:hAnsi="Times New Roman" w:eastAsia="宋体" w:cs="Times New Roman"/>
                <w:kern w:val="0"/>
                <w:sz w:val="20"/>
                <w:szCs w:val="24"/>
              </w:rPr>
              <w:t xml:space="preserve"> 能本地检验，分析系统能部署在院内指定服务器。</w:t>
            </w:r>
          </w:p>
          <w:p w14:paraId="781F84EA">
            <w:pPr>
              <w:rPr>
                <w:rFonts w:hint="default" w:ascii="Times New Roman" w:hAnsi="Times New Roman" w:eastAsia="宋体" w:cs="Times New Roman"/>
                <w:kern w:val="0"/>
                <w:sz w:val="20"/>
                <w:szCs w:val="24"/>
              </w:rPr>
            </w:pPr>
            <w:r>
              <w:rPr>
                <w:rFonts w:hint="default" w:ascii="Times New Roman" w:hAnsi="Times New Roman" w:eastAsia="宋体" w:cs="Times New Roman"/>
                <w:color w:val="000000"/>
                <w:kern w:val="0"/>
                <w:sz w:val="20"/>
                <w:szCs w:val="24"/>
                <w:lang w:bidi="ar"/>
              </w:rPr>
              <w:t>6</w:t>
            </w:r>
            <w:r>
              <w:rPr>
                <w:rFonts w:hint="default" w:ascii="Times New Roman" w:hAnsi="Times New Roman" w:eastAsia="宋体" w:cs="Times New Roman"/>
                <w:color w:val="000000"/>
                <w:kern w:val="0"/>
                <w:sz w:val="20"/>
                <w:szCs w:val="21"/>
                <w:lang w:bidi="ar"/>
              </w:rPr>
              <w:t>.</w:t>
            </w:r>
            <w:r>
              <w:rPr>
                <w:rFonts w:hint="default" w:ascii="Times New Roman" w:hAnsi="Times New Roman" w:eastAsia="宋体" w:cs="Times New Roman"/>
                <w:kern w:val="0"/>
                <w:sz w:val="20"/>
                <w:szCs w:val="24"/>
              </w:rPr>
              <w:t>需具备临床检测相关资质，若遇院内仪器故障，可协助提供检测服务。</w:t>
            </w:r>
          </w:p>
          <w:p w14:paraId="6C3AFE77">
            <w:pPr>
              <w:rPr>
                <w:rFonts w:hint="default" w:ascii="Times New Roman" w:hAnsi="Times New Roman" w:eastAsia="宋体" w:cs="Times New Roman"/>
                <w:kern w:val="0"/>
                <w:sz w:val="20"/>
                <w:szCs w:val="24"/>
              </w:rPr>
            </w:pPr>
            <w:r>
              <w:rPr>
                <w:rFonts w:hint="default" w:ascii="Times New Roman" w:hAnsi="Times New Roman" w:eastAsia="宋体" w:cs="Times New Roman"/>
                <w:kern w:val="0"/>
                <w:sz w:val="20"/>
                <w:szCs w:val="24"/>
              </w:rPr>
              <w:t>7.</w:t>
            </w:r>
            <w:r>
              <w:rPr>
                <w:rFonts w:hint="default" w:ascii="Times New Roman" w:hAnsi="Times New Roman" w:eastAsia="宋体" w:cs="Times New Roman"/>
                <w:kern w:val="0"/>
                <w:sz w:val="20"/>
                <w:szCs w:val="20"/>
              </w:rPr>
              <w:t xml:space="preserve"> </w:t>
            </w:r>
            <w:r>
              <w:rPr>
                <w:rFonts w:hint="default" w:ascii="Times New Roman" w:hAnsi="Times New Roman" w:eastAsia="宋体" w:cs="Times New Roman"/>
                <w:kern w:val="0"/>
                <w:sz w:val="20"/>
                <w:szCs w:val="24"/>
              </w:rPr>
              <w:t>采用真空抽滤方案，避免离心甩板造成的孔间污染或人为污染，检测时长需要控制在1.5小时以内。</w:t>
            </w:r>
          </w:p>
          <w:p w14:paraId="2E410601">
            <w:pPr>
              <w:rPr>
                <w:rFonts w:hint="default" w:ascii="Times New Roman" w:hAnsi="Times New Roman" w:eastAsia="宋体" w:cs="Times New Roman"/>
                <w:kern w:val="0"/>
                <w:sz w:val="20"/>
                <w:szCs w:val="24"/>
              </w:rPr>
            </w:pPr>
            <w:r>
              <w:rPr>
                <w:rFonts w:hint="default" w:ascii="Times New Roman" w:hAnsi="Times New Roman" w:eastAsia="宋体" w:cs="Times New Roman"/>
                <w:kern w:val="0"/>
                <w:sz w:val="20"/>
                <w:szCs w:val="24"/>
              </w:rPr>
              <w:t>8.</w:t>
            </w:r>
            <w:r>
              <w:rPr>
                <w:rFonts w:hint="default" w:ascii="Times New Roman" w:hAnsi="Times New Roman" w:eastAsia="宋体" w:cs="Times New Roman"/>
                <w:kern w:val="0"/>
                <w:sz w:val="20"/>
                <w:szCs w:val="20"/>
              </w:rPr>
              <w:t xml:space="preserve"> </w:t>
            </w:r>
            <w:r>
              <w:rPr>
                <w:rFonts w:hint="default" w:ascii="Times New Roman" w:hAnsi="Times New Roman" w:eastAsia="宋体" w:cs="Times New Roman"/>
                <w:kern w:val="0"/>
                <w:sz w:val="20"/>
                <w:szCs w:val="24"/>
              </w:rPr>
              <w:t>每孔的反应体系中，试剂内含1个阳性内控和1个阴性内控微球，用以监控该孔的反应情况是否正常。</w:t>
            </w:r>
          </w:p>
          <w:p w14:paraId="0F902810">
            <w:pPr>
              <w:rPr>
                <w:rFonts w:hint="default" w:ascii="Times New Roman" w:hAnsi="Times New Roman" w:eastAsia="宋体" w:cs="Times New Roman"/>
                <w:kern w:val="0"/>
                <w:sz w:val="20"/>
                <w:szCs w:val="24"/>
              </w:rPr>
            </w:pPr>
            <w:r>
              <w:rPr>
                <w:rFonts w:hint="default" w:ascii="Times New Roman" w:hAnsi="Times New Roman" w:eastAsia="宋体" w:cs="Times New Roman"/>
                <w:kern w:val="0"/>
                <w:sz w:val="20"/>
                <w:szCs w:val="24"/>
              </w:rPr>
              <w:t>9.试剂配有阳性对照血清和阴性对照血清，每批次实验需要分别做一个阳性对照孔和阴性对照孔，监控整批实验是否正常进行。</w:t>
            </w:r>
          </w:p>
          <w:p w14:paraId="285D9D2B">
            <w:pPr>
              <w:widowControl/>
              <w:jc w:val="left"/>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10.</w:t>
            </w:r>
            <w:r>
              <w:rPr>
                <w:rFonts w:hint="default" w:ascii="Times New Roman" w:hAnsi="Times New Roman" w:eastAsia="宋体" w:cs="Times New Roman"/>
                <w:kern w:val="0"/>
                <w:sz w:val="20"/>
                <w:szCs w:val="20"/>
              </w:rPr>
              <w:t>对应</w:t>
            </w:r>
            <w:r>
              <w:rPr>
                <w:rFonts w:hint="default" w:ascii="Times New Roman" w:hAnsi="Times New Roman" w:eastAsia="宋体" w:cs="Times New Roman"/>
                <w:color w:val="000000"/>
                <w:kern w:val="0"/>
                <w:sz w:val="20"/>
                <w:szCs w:val="21"/>
                <w:lang w:bidi="ar"/>
              </w:rPr>
              <w:t>试剂盒有效期不低于12个月。</w:t>
            </w:r>
          </w:p>
        </w:tc>
      </w:tr>
      <w:tr w14:paraId="0157E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741" w:type="dxa"/>
            <w:vAlign w:val="center"/>
          </w:tcPr>
          <w:p w14:paraId="789BF6E4">
            <w:pPr>
              <w:widowControl/>
              <w:jc w:val="center"/>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21</w:t>
            </w:r>
          </w:p>
        </w:tc>
        <w:tc>
          <w:tcPr>
            <w:tcW w:w="1936" w:type="dxa"/>
            <w:vAlign w:val="center"/>
          </w:tcPr>
          <w:p w14:paraId="125B7CD2">
            <w:pPr>
              <w:rPr>
                <w:rFonts w:hint="default" w:ascii="Times New Roman" w:hAnsi="Times New Roman" w:eastAsia="宋体" w:cs="Times New Roman"/>
                <w:color w:val="000000" w:themeColor="text1"/>
                <w:kern w:val="0"/>
                <w:sz w:val="20"/>
                <w:szCs w:val="21"/>
                <w:highlight w:val="yellow"/>
                <w14:textFill>
                  <w14:solidFill>
                    <w14:schemeClr w14:val="tx1"/>
                  </w14:solidFill>
                </w14:textFill>
              </w:rPr>
            </w:pPr>
            <w:r>
              <w:rPr>
                <w:rFonts w:hint="default" w:ascii="Times New Roman" w:hAnsi="Times New Roman" w:eastAsia="宋体" w:cs="Times New Roman"/>
                <w:color w:val="000000" w:themeColor="text1"/>
                <w:kern w:val="0"/>
                <w:sz w:val="20"/>
                <w:szCs w:val="21"/>
                <w14:textFill>
                  <w14:solidFill>
                    <w14:schemeClr w14:val="tx1"/>
                  </w14:solidFill>
                </w14:textFill>
              </w:rPr>
              <w:t>HLA-II类特异性抗体检测</w:t>
            </w:r>
          </w:p>
        </w:tc>
        <w:tc>
          <w:tcPr>
            <w:tcW w:w="7000" w:type="dxa"/>
            <w:vAlign w:val="center"/>
          </w:tcPr>
          <w:p w14:paraId="5AD03EA8">
            <w:pPr>
              <w:widowControl/>
              <w:jc w:val="left"/>
              <w:textAlignment w:val="center"/>
              <w:rPr>
                <w:rFonts w:hint="default" w:ascii="Times New Roman" w:hAnsi="Times New Roman" w:eastAsia="宋体" w:cs="Times New Roman"/>
                <w:color w:val="000000" w:themeColor="text1"/>
                <w:kern w:val="0"/>
                <w:sz w:val="20"/>
                <w:szCs w:val="21"/>
                <w:lang w:bidi="ar"/>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1.用途/检测范围：通过荧光标记STR复合扩增技术， 一次性检测15个常染色体STR基因座和1个性染色体STR基因座， 可用于不同来源DNA的分子分型</w:t>
            </w:r>
            <w:r>
              <w:rPr>
                <w:rFonts w:hint="default" w:ascii="Times New Roman" w:hAnsi="Times New Roman" w:eastAsia="宋体" w:cs="Times New Roman"/>
                <w:color w:val="000000" w:themeColor="text1"/>
                <w:kern w:val="0"/>
                <w:sz w:val="20"/>
                <w:szCs w:val="21"/>
                <w:lang w:bidi="ar"/>
                <w14:textFill>
                  <w14:solidFill>
                    <w14:schemeClr w14:val="tx1"/>
                  </w14:solidFill>
                </w14:textFill>
              </w:rPr>
              <w:br w:type="textWrapping"/>
            </w:r>
            <w:r>
              <w:rPr>
                <w:rFonts w:hint="default" w:ascii="Times New Roman" w:hAnsi="Times New Roman" w:eastAsia="宋体" w:cs="Times New Roman"/>
                <w:color w:val="000000" w:themeColor="text1"/>
                <w:kern w:val="0"/>
                <w:sz w:val="20"/>
                <w:szCs w:val="21"/>
                <w:lang w:bidi="ar"/>
                <w14:textFill>
                  <w14:solidFill>
                    <w14:schemeClr w14:val="tx1"/>
                  </w14:solidFill>
                </w14:textFill>
              </w:rPr>
              <w:t>2.检测样本类型：血清或血浆</w:t>
            </w:r>
            <w:r>
              <w:rPr>
                <w:rFonts w:hint="default" w:ascii="Times New Roman" w:hAnsi="Times New Roman" w:eastAsia="宋体" w:cs="Times New Roman"/>
                <w:color w:val="000000" w:themeColor="text1"/>
                <w:kern w:val="0"/>
                <w:sz w:val="20"/>
                <w:szCs w:val="21"/>
                <w:lang w:bidi="ar"/>
                <w14:textFill>
                  <w14:solidFill>
                    <w14:schemeClr w14:val="tx1"/>
                  </w14:solidFill>
                </w14:textFill>
              </w:rPr>
              <w:br w:type="textWrapping"/>
            </w:r>
            <w:r>
              <w:rPr>
                <w:rFonts w:hint="default" w:ascii="Times New Roman" w:hAnsi="Times New Roman" w:eastAsia="宋体" w:cs="Times New Roman"/>
                <w:color w:val="000000" w:themeColor="text1"/>
                <w:kern w:val="0"/>
                <w:sz w:val="20"/>
                <w:szCs w:val="21"/>
                <w:lang w:bidi="ar"/>
                <w14:textFill>
                  <w14:solidFill>
                    <w14:schemeClr w14:val="tx1"/>
                  </w14:solidFill>
                </w14:textFill>
              </w:rPr>
              <w:t>3.方法学：液相芯片技术。</w:t>
            </w:r>
          </w:p>
          <w:p w14:paraId="02009FFB">
            <w:pPr>
              <w:widowControl/>
              <w:jc w:val="left"/>
              <w:textAlignment w:val="center"/>
              <w:rPr>
                <w:rFonts w:hint="default" w:ascii="Times New Roman" w:hAnsi="Times New Roman" w:eastAsia="宋体" w:cs="Times New Roman"/>
                <w:color w:val="000000" w:themeColor="text1"/>
                <w:kern w:val="0"/>
                <w:sz w:val="20"/>
                <w:szCs w:val="21"/>
                <w:lang w:bidi="ar"/>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4.试剂须具备医疗器械注册证或备案凭证。</w:t>
            </w:r>
          </w:p>
          <w:p w14:paraId="6D0617B4">
            <w:pPr>
              <w:rPr>
                <w:rFonts w:hint="default" w:ascii="Times New Roman" w:hAnsi="Times New Roman" w:eastAsia="宋体" w:cs="Times New Roman"/>
                <w:color w:val="000000" w:themeColor="text1"/>
                <w:kern w:val="0"/>
                <w:sz w:val="20"/>
                <w:szCs w:val="24"/>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5.</w:t>
            </w:r>
            <w:r>
              <w:rPr>
                <w:rFonts w:hint="default" w:ascii="Times New Roman" w:hAnsi="Times New Roman" w:eastAsia="宋体" w:cs="Times New Roman"/>
                <w:color w:val="000000" w:themeColor="text1"/>
                <w:kern w:val="0"/>
                <w:sz w:val="20"/>
                <w:szCs w:val="24"/>
                <w14:textFill>
                  <w14:solidFill>
                    <w14:schemeClr w14:val="tx1"/>
                  </w14:solidFill>
                </w14:textFill>
              </w:rPr>
              <w:t xml:space="preserve"> 能本地检验，分析系统能部署在院内指定服务器。</w:t>
            </w:r>
          </w:p>
          <w:p w14:paraId="1DC84516">
            <w:pPr>
              <w:rPr>
                <w:rFonts w:hint="default" w:ascii="Times New Roman" w:hAnsi="Times New Roman" w:eastAsia="宋体" w:cs="Times New Roman"/>
                <w:color w:val="000000" w:themeColor="text1"/>
                <w:kern w:val="0"/>
                <w:sz w:val="20"/>
                <w:szCs w:val="24"/>
                <w14:textFill>
                  <w14:solidFill>
                    <w14:schemeClr w14:val="tx1"/>
                  </w14:solidFill>
                </w14:textFill>
              </w:rPr>
            </w:pPr>
            <w:r>
              <w:rPr>
                <w:rFonts w:hint="default" w:ascii="Times New Roman" w:hAnsi="Times New Roman" w:eastAsia="宋体" w:cs="Times New Roman"/>
                <w:color w:val="000000" w:themeColor="text1"/>
                <w:kern w:val="0"/>
                <w:sz w:val="20"/>
                <w:szCs w:val="24"/>
                <w:lang w:bidi="ar"/>
                <w14:textFill>
                  <w14:solidFill>
                    <w14:schemeClr w14:val="tx1"/>
                  </w14:solidFill>
                </w14:textFill>
              </w:rPr>
              <w:t>6</w:t>
            </w:r>
            <w:r>
              <w:rPr>
                <w:rFonts w:hint="default" w:ascii="Times New Roman" w:hAnsi="Times New Roman" w:eastAsia="宋体" w:cs="Times New Roman"/>
                <w:color w:val="000000" w:themeColor="text1"/>
                <w:kern w:val="0"/>
                <w:sz w:val="20"/>
                <w:szCs w:val="21"/>
                <w:lang w:bidi="ar"/>
                <w14:textFill>
                  <w14:solidFill>
                    <w14:schemeClr w14:val="tx1"/>
                  </w14:solidFill>
                </w14:textFill>
              </w:rPr>
              <w:t>.</w:t>
            </w:r>
            <w:r>
              <w:rPr>
                <w:rFonts w:hint="default" w:ascii="Times New Roman" w:hAnsi="Times New Roman" w:eastAsia="宋体" w:cs="Times New Roman"/>
                <w:color w:val="000000" w:themeColor="text1"/>
                <w:kern w:val="0"/>
                <w:sz w:val="20"/>
                <w:szCs w:val="24"/>
                <w14:textFill>
                  <w14:solidFill>
                    <w14:schemeClr w14:val="tx1"/>
                  </w14:solidFill>
                </w14:textFill>
              </w:rPr>
              <w:t>需具备临床检测相关资质，若遇院内仪器故障，可协助提供检测服务。</w:t>
            </w:r>
          </w:p>
          <w:p w14:paraId="270F2EBE">
            <w:pPr>
              <w:rPr>
                <w:rFonts w:hint="default" w:ascii="Times New Roman" w:hAnsi="Times New Roman" w:eastAsia="宋体" w:cs="Times New Roman"/>
                <w:color w:val="000000" w:themeColor="text1"/>
                <w:kern w:val="0"/>
                <w:sz w:val="20"/>
                <w:szCs w:val="24"/>
                <w14:textFill>
                  <w14:solidFill>
                    <w14:schemeClr w14:val="tx1"/>
                  </w14:solidFill>
                </w14:textFill>
              </w:rPr>
            </w:pPr>
            <w:r>
              <w:rPr>
                <w:rFonts w:hint="default" w:ascii="Times New Roman" w:hAnsi="Times New Roman" w:eastAsia="宋体" w:cs="Times New Roman"/>
                <w:color w:val="000000" w:themeColor="text1"/>
                <w:kern w:val="0"/>
                <w:sz w:val="20"/>
                <w:szCs w:val="24"/>
                <w14:textFill>
                  <w14:solidFill>
                    <w14:schemeClr w14:val="tx1"/>
                  </w14:solidFill>
                </w14:textFill>
              </w:rPr>
              <w:t>7.</w:t>
            </w:r>
            <w:r>
              <w:rPr>
                <w:rFonts w:hint="default" w:ascii="Times New Roman" w:hAnsi="Times New Roman" w:eastAsia="宋体" w:cs="Times New Roman"/>
                <w:color w:val="000000" w:themeColor="text1"/>
                <w:kern w:val="0"/>
                <w:sz w:val="20"/>
                <w:szCs w:val="20"/>
                <w14:textFill>
                  <w14:solidFill>
                    <w14:schemeClr w14:val="tx1"/>
                  </w14:solidFill>
                </w14:textFill>
              </w:rPr>
              <w:t xml:space="preserve"> </w:t>
            </w:r>
            <w:r>
              <w:rPr>
                <w:rFonts w:hint="default" w:ascii="Times New Roman" w:hAnsi="Times New Roman" w:eastAsia="宋体" w:cs="Times New Roman"/>
                <w:color w:val="000000" w:themeColor="text1"/>
                <w:kern w:val="0"/>
                <w:sz w:val="20"/>
                <w:szCs w:val="24"/>
                <w14:textFill>
                  <w14:solidFill>
                    <w14:schemeClr w14:val="tx1"/>
                  </w14:solidFill>
                </w14:textFill>
              </w:rPr>
              <w:t>采用真空抽滤方案，避免离心甩板造成的孔间污染或人为污染，检测时长需要控制在1.5小时以内。</w:t>
            </w:r>
          </w:p>
          <w:p w14:paraId="0C80E905">
            <w:pPr>
              <w:rPr>
                <w:rFonts w:hint="default" w:ascii="Times New Roman" w:hAnsi="Times New Roman" w:eastAsia="宋体" w:cs="Times New Roman"/>
                <w:color w:val="000000" w:themeColor="text1"/>
                <w:kern w:val="0"/>
                <w:sz w:val="20"/>
                <w:szCs w:val="24"/>
                <w14:textFill>
                  <w14:solidFill>
                    <w14:schemeClr w14:val="tx1"/>
                  </w14:solidFill>
                </w14:textFill>
              </w:rPr>
            </w:pPr>
            <w:r>
              <w:rPr>
                <w:rFonts w:hint="default" w:ascii="Times New Roman" w:hAnsi="Times New Roman" w:eastAsia="宋体" w:cs="Times New Roman"/>
                <w:color w:val="000000" w:themeColor="text1"/>
                <w:kern w:val="0"/>
                <w:sz w:val="20"/>
                <w:szCs w:val="24"/>
                <w14:textFill>
                  <w14:solidFill>
                    <w14:schemeClr w14:val="tx1"/>
                  </w14:solidFill>
                </w14:textFill>
              </w:rPr>
              <w:t>8.</w:t>
            </w:r>
            <w:r>
              <w:rPr>
                <w:rFonts w:hint="default" w:ascii="Times New Roman" w:hAnsi="Times New Roman" w:eastAsia="宋体" w:cs="Times New Roman"/>
                <w:color w:val="000000" w:themeColor="text1"/>
                <w:kern w:val="0"/>
                <w:sz w:val="20"/>
                <w:szCs w:val="20"/>
                <w14:textFill>
                  <w14:solidFill>
                    <w14:schemeClr w14:val="tx1"/>
                  </w14:solidFill>
                </w14:textFill>
              </w:rPr>
              <w:t xml:space="preserve"> </w:t>
            </w:r>
            <w:r>
              <w:rPr>
                <w:rFonts w:hint="default" w:ascii="Times New Roman" w:hAnsi="Times New Roman" w:eastAsia="宋体" w:cs="Times New Roman"/>
                <w:color w:val="000000" w:themeColor="text1"/>
                <w:kern w:val="0"/>
                <w:sz w:val="20"/>
                <w:szCs w:val="24"/>
                <w14:textFill>
                  <w14:solidFill>
                    <w14:schemeClr w14:val="tx1"/>
                  </w14:solidFill>
                </w14:textFill>
              </w:rPr>
              <w:t>每孔的反应体系中，试剂内含1个阳性内控和1个阴性内控微球，用以监控该孔的反应情况是否正常。</w:t>
            </w:r>
          </w:p>
          <w:p w14:paraId="48782EEC">
            <w:pPr>
              <w:rPr>
                <w:rFonts w:hint="default" w:ascii="Times New Roman" w:hAnsi="Times New Roman" w:eastAsia="宋体" w:cs="Times New Roman"/>
                <w:color w:val="000000" w:themeColor="text1"/>
                <w:kern w:val="0"/>
                <w:sz w:val="20"/>
                <w:szCs w:val="24"/>
                <w14:textFill>
                  <w14:solidFill>
                    <w14:schemeClr w14:val="tx1"/>
                  </w14:solidFill>
                </w14:textFill>
              </w:rPr>
            </w:pPr>
            <w:r>
              <w:rPr>
                <w:rFonts w:hint="default" w:ascii="Times New Roman" w:hAnsi="Times New Roman" w:eastAsia="宋体" w:cs="Times New Roman"/>
                <w:color w:val="000000" w:themeColor="text1"/>
                <w:kern w:val="0"/>
                <w:sz w:val="20"/>
                <w:szCs w:val="24"/>
                <w14:textFill>
                  <w14:solidFill>
                    <w14:schemeClr w14:val="tx1"/>
                  </w14:solidFill>
                </w14:textFill>
              </w:rPr>
              <w:t>9.试剂配有阳性对照血清和阴性对照血清，每批次实验需要分别做一个阳性对照孔和阴性对照孔，监控整批实验是否正常进行。</w:t>
            </w:r>
          </w:p>
          <w:p w14:paraId="45ACDFDD">
            <w:pPr>
              <w:widowControl/>
              <w:jc w:val="left"/>
              <w:textAlignment w:val="center"/>
              <w:rPr>
                <w:rFonts w:hint="default" w:ascii="Times New Roman" w:hAnsi="Times New Roman" w:eastAsia="宋体" w:cs="Times New Roman"/>
                <w:color w:val="000000" w:themeColor="text1"/>
                <w:kern w:val="0"/>
                <w:sz w:val="20"/>
                <w:szCs w:val="21"/>
                <w:lang w:bidi="ar"/>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10.</w:t>
            </w:r>
            <w:r>
              <w:rPr>
                <w:rFonts w:hint="default" w:ascii="Times New Roman" w:hAnsi="Times New Roman" w:eastAsia="宋体" w:cs="Times New Roman"/>
                <w:color w:val="000000" w:themeColor="text1"/>
                <w:kern w:val="0"/>
                <w:sz w:val="20"/>
                <w:szCs w:val="20"/>
                <w14:textFill>
                  <w14:solidFill>
                    <w14:schemeClr w14:val="tx1"/>
                  </w14:solidFill>
                </w14:textFill>
              </w:rPr>
              <w:t>对应</w:t>
            </w:r>
            <w:r>
              <w:rPr>
                <w:rFonts w:hint="default" w:ascii="Times New Roman" w:hAnsi="Times New Roman" w:eastAsia="宋体" w:cs="Times New Roman"/>
                <w:color w:val="000000" w:themeColor="text1"/>
                <w:kern w:val="0"/>
                <w:sz w:val="20"/>
                <w:szCs w:val="21"/>
                <w:lang w:bidi="ar"/>
                <w14:textFill>
                  <w14:solidFill>
                    <w14:schemeClr w14:val="tx1"/>
                  </w14:solidFill>
                </w14:textFill>
              </w:rPr>
              <w:t>试剂盒有效期不低于12个月。</w:t>
            </w:r>
          </w:p>
        </w:tc>
      </w:tr>
      <w:tr w14:paraId="510BF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741" w:type="dxa"/>
            <w:vAlign w:val="center"/>
          </w:tcPr>
          <w:p w14:paraId="24C4625E">
            <w:pPr>
              <w:widowControl/>
              <w:jc w:val="center"/>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22</w:t>
            </w:r>
          </w:p>
        </w:tc>
        <w:tc>
          <w:tcPr>
            <w:tcW w:w="1936" w:type="dxa"/>
            <w:vAlign w:val="center"/>
          </w:tcPr>
          <w:p w14:paraId="1CFE7430">
            <w:pPr>
              <w:rPr>
                <w:rFonts w:hint="default" w:ascii="Times New Roman" w:hAnsi="Times New Roman" w:eastAsia="宋体" w:cs="Times New Roman"/>
                <w:color w:val="000000" w:themeColor="text1"/>
                <w:kern w:val="0"/>
                <w:sz w:val="20"/>
                <w:szCs w:val="21"/>
                <w:highlight w:val="yellow"/>
                <w14:textFill>
                  <w14:solidFill>
                    <w14:schemeClr w14:val="tx1"/>
                  </w14:solidFill>
                </w14:textFill>
              </w:rPr>
            </w:pPr>
            <w:r>
              <w:rPr>
                <w:rFonts w:hint="default" w:ascii="Times New Roman" w:hAnsi="Times New Roman" w:eastAsia="宋体" w:cs="Times New Roman"/>
                <w:color w:val="000000" w:themeColor="text1"/>
                <w:kern w:val="0"/>
                <w:sz w:val="20"/>
                <w:szCs w:val="21"/>
                <w14:textFill>
                  <w14:solidFill>
                    <w14:schemeClr w14:val="tx1"/>
                  </w14:solidFill>
                </w14:textFill>
              </w:rPr>
              <w:t>HLA抗体筛查</w:t>
            </w:r>
          </w:p>
        </w:tc>
        <w:tc>
          <w:tcPr>
            <w:tcW w:w="7000" w:type="dxa"/>
            <w:vAlign w:val="center"/>
          </w:tcPr>
          <w:p w14:paraId="68BC11B7">
            <w:pPr>
              <w:widowControl/>
              <w:jc w:val="left"/>
              <w:textAlignment w:val="center"/>
              <w:rPr>
                <w:rFonts w:hint="default" w:ascii="Times New Roman" w:hAnsi="Times New Roman" w:eastAsia="宋体" w:cs="Times New Roman"/>
                <w:color w:val="000000" w:themeColor="text1"/>
                <w:kern w:val="0"/>
                <w:sz w:val="20"/>
                <w:szCs w:val="21"/>
                <w:lang w:bidi="ar"/>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1.用途/检测范围：用于定性筛查人血清或血浆中HLA-I类和II类抗体，通过覆盖主要交叉反应组（CREG）的抗抗原包被微球，在单一反应孔中快速判断HLA抗体整体阴阳性，适用于器官移植前的初步抗体筛查。</w:t>
            </w:r>
          </w:p>
          <w:p w14:paraId="12008B7D">
            <w:pPr>
              <w:widowControl/>
              <w:jc w:val="left"/>
              <w:textAlignment w:val="center"/>
              <w:rPr>
                <w:rFonts w:hint="default" w:ascii="Times New Roman" w:hAnsi="Times New Roman" w:eastAsia="宋体" w:cs="Times New Roman"/>
                <w:color w:val="000000" w:themeColor="text1"/>
                <w:kern w:val="0"/>
                <w:sz w:val="20"/>
                <w:szCs w:val="21"/>
                <w:lang w:bidi="ar"/>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2.检测样本类型：血清或血浆</w:t>
            </w:r>
            <w:r>
              <w:rPr>
                <w:rFonts w:hint="default" w:ascii="Times New Roman" w:hAnsi="Times New Roman" w:eastAsia="宋体" w:cs="Times New Roman"/>
                <w:color w:val="000000" w:themeColor="text1"/>
                <w:kern w:val="0"/>
                <w:sz w:val="20"/>
                <w:szCs w:val="21"/>
                <w:lang w:bidi="ar"/>
                <w14:textFill>
                  <w14:solidFill>
                    <w14:schemeClr w14:val="tx1"/>
                  </w14:solidFill>
                </w14:textFill>
              </w:rPr>
              <w:br w:type="textWrapping"/>
            </w:r>
            <w:r>
              <w:rPr>
                <w:rFonts w:hint="default" w:ascii="Times New Roman" w:hAnsi="Times New Roman" w:eastAsia="宋体" w:cs="Times New Roman"/>
                <w:color w:val="000000" w:themeColor="text1"/>
                <w:kern w:val="0"/>
                <w:sz w:val="20"/>
                <w:szCs w:val="21"/>
                <w:lang w:bidi="ar"/>
                <w14:textFill>
                  <w14:solidFill>
                    <w14:schemeClr w14:val="tx1"/>
                  </w14:solidFill>
                </w14:textFill>
              </w:rPr>
              <w:t>3.方法学：液相芯片技术。</w:t>
            </w:r>
          </w:p>
          <w:p w14:paraId="39F3E8B7">
            <w:pPr>
              <w:widowControl/>
              <w:jc w:val="left"/>
              <w:textAlignment w:val="center"/>
              <w:rPr>
                <w:rFonts w:hint="default" w:ascii="Times New Roman" w:hAnsi="Times New Roman" w:eastAsia="宋体" w:cs="Times New Roman"/>
                <w:color w:val="000000" w:themeColor="text1"/>
                <w:kern w:val="0"/>
                <w:sz w:val="20"/>
                <w:szCs w:val="21"/>
                <w:lang w:bidi="ar"/>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4.试剂须具备医疗器械注册证或备案凭证。</w:t>
            </w:r>
          </w:p>
          <w:p w14:paraId="5D33980F">
            <w:pPr>
              <w:rPr>
                <w:rFonts w:hint="default" w:ascii="Times New Roman" w:hAnsi="Times New Roman" w:eastAsia="宋体" w:cs="Times New Roman"/>
                <w:color w:val="000000" w:themeColor="text1"/>
                <w:kern w:val="0"/>
                <w:sz w:val="20"/>
                <w:szCs w:val="24"/>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5.</w:t>
            </w:r>
            <w:r>
              <w:rPr>
                <w:rFonts w:hint="default" w:ascii="Times New Roman" w:hAnsi="Times New Roman" w:eastAsia="宋体" w:cs="Times New Roman"/>
                <w:color w:val="000000" w:themeColor="text1"/>
                <w:kern w:val="0"/>
                <w:sz w:val="20"/>
                <w:szCs w:val="24"/>
                <w14:textFill>
                  <w14:solidFill>
                    <w14:schemeClr w14:val="tx1"/>
                  </w14:solidFill>
                </w14:textFill>
              </w:rPr>
              <w:t xml:space="preserve"> 能本地检验，分析系统能部署在院内指定服务器。</w:t>
            </w:r>
          </w:p>
          <w:p w14:paraId="1F5D60A7">
            <w:pPr>
              <w:rPr>
                <w:rFonts w:hint="default" w:ascii="Times New Roman" w:hAnsi="Times New Roman" w:eastAsia="宋体" w:cs="Times New Roman"/>
                <w:color w:val="000000" w:themeColor="text1"/>
                <w:kern w:val="0"/>
                <w:sz w:val="20"/>
                <w:szCs w:val="24"/>
                <w14:textFill>
                  <w14:solidFill>
                    <w14:schemeClr w14:val="tx1"/>
                  </w14:solidFill>
                </w14:textFill>
              </w:rPr>
            </w:pPr>
            <w:r>
              <w:rPr>
                <w:rFonts w:hint="default" w:ascii="Times New Roman" w:hAnsi="Times New Roman" w:eastAsia="宋体" w:cs="Times New Roman"/>
                <w:color w:val="000000" w:themeColor="text1"/>
                <w:kern w:val="0"/>
                <w:sz w:val="20"/>
                <w:szCs w:val="24"/>
                <w:lang w:bidi="ar"/>
                <w14:textFill>
                  <w14:solidFill>
                    <w14:schemeClr w14:val="tx1"/>
                  </w14:solidFill>
                </w14:textFill>
              </w:rPr>
              <w:t>6</w:t>
            </w:r>
            <w:r>
              <w:rPr>
                <w:rFonts w:hint="default" w:ascii="Times New Roman" w:hAnsi="Times New Roman" w:eastAsia="宋体" w:cs="Times New Roman"/>
                <w:color w:val="000000" w:themeColor="text1"/>
                <w:kern w:val="0"/>
                <w:sz w:val="20"/>
                <w:szCs w:val="21"/>
                <w:lang w:bidi="ar"/>
                <w14:textFill>
                  <w14:solidFill>
                    <w14:schemeClr w14:val="tx1"/>
                  </w14:solidFill>
                </w14:textFill>
              </w:rPr>
              <w:t>.</w:t>
            </w:r>
            <w:r>
              <w:rPr>
                <w:rFonts w:hint="default" w:ascii="Times New Roman" w:hAnsi="Times New Roman" w:eastAsia="宋体" w:cs="Times New Roman"/>
                <w:color w:val="000000" w:themeColor="text1"/>
                <w:kern w:val="0"/>
                <w:sz w:val="20"/>
                <w:szCs w:val="24"/>
                <w14:textFill>
                  <w14:solidFill>
                    <w14:schemeClr w14:val="tx1"/>
                  </w14:solidFill>
                </w14:textFill>
              </w:rPr>
              <w:t>需具备临床检测相关资质，若遇院内仪器故障，可协助提供检测服务。</w:t>
            </w:r>
          </w:p>
          <w:p w14:paraId="5C519B0B">
            <w:pPr>
              <w:rPr>
                <w:rFonts w:hint="default" w:ascii="Times New Roman" w:hAnsi="Times New Roman" w:eastAsia="宋体" w:cs="Times New Roman"/>
                <w:color w:val="000000" w:themeColor="text1"/>
                <w:kern w:val="0"/>
                <w:sz w:val="20"/>
                <w:szCs w:val="24"/>
                <w14:textFill>
                  <w14:solidFill>
                    <w14:schemeClr w14:val="tx1"/>
                  </w14:solidFill>
                </w14:textFill>
              </w:rPr>
            </w:pPr>
            <w:r>
              <w:rPr>
                <w:rFonts w:hint="default" w:ascii="Times New Roman" w:hAnsi="Times New Roman" w:eastAsia="宋体" w:cs="Times New Roman"/>
                <w:color w:val="000000" w:themeColor="text1"/>
                <w:kern w:val="0"/>
                <w:sz w:val="20"/>
                <w:szCs w:val="24"/>
                <w14:textFill>
                  <w14:solidFill>
                    <w14:schemeClr w14:val="tx1"/>
                  </w14:solidFill>
                </w14:textFill>
              </w:rPr>
              <w:t>7.</w:t>
            </w:r>
            <w:r>
              <w:rPr>
                <w:rFonts w:hint="default" w:ascii="Times New Roman" w:hAnsi="Times New Roman" w:eastAsia="宋体" w:cs="Times New Roman"/>
                <w:color w:val="000000" w:themeColor="text1"/>
                <w:kern w:val="0"/>
                <w:sz w:val="20"/>
                <w:szCs w:val="20"/>
                <w14:textFill>
                  <w14:solidFill>
                    <w14:schemeClr w14:val="tx1"/>
                  </w14:solidFill>
                </w14:textFill>
              </w:rPr>
              <w:t xml:space="preserve"> </w:t>
            </w:r>
            <w:r>
              <w:rPr>
                <w:rFonts w:hint="default" w:ascii="Times New Roman" w:hAnsi="Times New Roman" w:eastAsia="宋体" w:cs="Times New Roman"/>
                <w:color w:val="000000" w:themeColor="text1"/>
                <w:kern w:val="0"/>
                <w:sz w:val="20"/>
                <w:szCs w:val="24"/>
                <w14:textFill>
                  <w14:solidFill>
                    <w14:schemeClr w14:val="tx1"/>
                  </w14:solidFill>
                </w14:textFill>
              </w:rPr>
              <w:t>一个反应孔可同时检测出HLA抗体I类和II类的阴阳性 。</w:t>
            </w:r>
          </w:p>
          <w:p w14:paraId="769BDB9C">
            <w:pPr>
              <w:rPr>
                <w:rFonts w:hint="default" w:ascii="Times New Roman" w:hAnsi="Times New Roman" w:eastAsia="宋体" w:cs="Times New Roman"/>
                <w:color w:val="000000" w:themeColor="text1"/>
                <w:kern w:val="0"/>
                <w:sz w:val="20"/>
                <w:szCs w:val="24"/>
                <w14:textFill>
                  <w14:solidFill>
                    <w14:schemeClr w14:val="tx1"/>
                  </w14:solidFill>
                </w14:textFill>
              </w:rPr>
            </w:pPr>
            <w:r>
              <w:rPr>
                <w:rFonts w:hint="default" w:ascii="Times New Roman" w:hAnsi="Times New Roman" w:eastAsia="宋体" w:cs="Times New Roman"/>
                <w:color w:val="000000" w:themeColor="text1"/>
                <w:kern w:val="0"/>
                <w:sz w:val="20"/>
                <w:szCs w:val="24"/>
                <w14:textFill>
                  <w14:solidFill>
                    <w14:schemeClr w14:val="tx1"/>
                  </w14:solidFill>
                </w14:textFill>
              </w:rPr>
              <w:t>8.</w:t>
            </w:r>
            <w:r>
              <w:rPr>
                <w:rFonts w:hint="default" w:ascii="Times New Roman" w:hAnsi="Times New Roman" w:eastAsia="宋体" w:cs="Times New Roman"/>
                <w:color w:val="000000" w:themeColor="text1"/>
                <w:kern w:val="0"/>
                <w:sz w:val="20"/>
                <w:szCs w:val="20"/>
                <w14:textFill>
                  <w14:solidFill>
                    <w14:schemeClr w14:val="tx1"/>
                  </w14:solidFill>
                </w14:textFill>
              </w:rPr>
              <w:t xml:space="preserve"> </w:t>
            </w:r>
            <w:r>
              <w:rPr>
                <w:rFonts w:hint="default" w:ascii="Times New Roman" w:hAnsi="Times New Roman" w:eastAsia="宋体" w:cs="Times New Roman"/>
                <w:color w:val="000000" w:themeColor="text1"/>
                <w:kern w:val="0"/>
                <w:sz w:val="20"/>
                <w:szCs w:val="24"/>
                <w14:textFill>
                  <w14:solidFill>
                    <w14:schemeClr w14:val="tx1"/>
                  </w14:solidFill>
                </w14:textFill>
              </w:rPr>
              <w:t>采用真空抽滤方案或其它方案，减少洗板次数，检测时长能控制在1.5小时左右。</w:t>
            </w:r>
          </w:p>
          <w:p w14:paraId="5444E8C1">
            <w:pPr>
              <w:widowControl/>
              <w:jc w:val="left"/>
              <w:textAlignment w:val="center"/>
              <w:rPr>
                <w:rFonts w:hint="default" w:ascii="Times New Roman" w:hAnsi="Times New Roman" w:eastAsia="宋体" w:cs="Times New Roman"/>
                <w:color w:val="000000" w:themeColor="text1"/>
                <w:kern w:val="0"/>
                <w:sz w:val="20"/>
                <w:szCs w:val="21"/>
                <w:lang w:bidi="ar"/>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9.</w:t>
            </w:r>
            <w:r>
              <w:rPr>
                <w:rFonts w:hint="default" w:ascii="Times New Roman" w:hAnsi="Times New Roman" w:eastAsia="宋体" w:cs="Times New Roman"/>
                <w:color w:val="000000" w:themeColor="text1"/>
                <w:kern w:val="0"/>
                <w:sz w:val="20"/>
                <w:szCs w:val="20"/>
                <w14:textFill>
                  <w14:solidFill>
                    <w14:schemeClr w14:val="tx1"/>
                  </w14:solidFill>
                </w14:textFill>
              </w:rPr>
              <w:t>对应</w:t>
            </w:r>
            <w:r>
              <w:rPr>
                <w:rFonts w:hint="default" w:ascii="Times New Roman" w:hAnsi="Times New Roman" w:eastAsia="宋体" w:cs="Times New Roman"/>
                <w:color w:val="000000" w:themeColor="text1"/>
                <w:kern w:val="0"/>
                <w:sz w:val="20"/>
                <w:szCs w:val="21"/>
                <w:lang w:bidi="ar"/>
                <w14:textFill>
                  <w14:solidFill>
                    <w14:schemeClr w14:val="tx1"/>
                  </w14:solidFill>
                </w14:textFill>
              </w:rPr>
              <w:t>试剂盒有效期不低于12个月。</w:t>
            </w:r>
          </w:p>
        </w:tc>
      </w:tr>
      <w:tr w14:paraId="55DAB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741" w:type="dxa"/>
            <w:vAlign w:val="center"/>
          </w:tcPr>
          <w:p w14:paraId="533B27DD">
            <w:pPr>
              <w:widowControl/>
              <w:jc w:val="center"/>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23</w:t>
            </w:r>
          </w:p>
        </w:tc>
        <w:tc>
          <w:tcPr>
            <w:tcW w:w="1936" w:type="dxa"/>
            <w:vAlign w:val="center"/>
          </w:tcPr>
          <w:p w14:paraId="1F751843">
            <w:pPr>
              <w:rPr>
                <w:rFonts w:hint="default" w:ascii="Times New Roman" w:hAnsi="Times New Roman" w:eastAsia="宋体" w:cs="Times New Roman"/>
                <w:color w:val="000000" w:themeColor="text1"/>
                <w:kern w:val="0"/>
                <w:sz w:val="20"/>
                <w:szCs w:val="21"/>
                <w:highlight w:val="yellow"/>
                <w14:textFill>
                  <w14:solidFill>
                    <w14:schemeClr w14:val="tx1"/>
                  </w14:solidFill>
                </w14:textFill>
              </w:rPr>
            </w:pPr>
            <w:r>
              <w:rPr>
                <w:rFonts w:hint="default" w:ascii="Times New Roman" w:hAnsi="Times New Roman" w:eastAsia="宋体" w:cs="Times New Roman"/>
                <w:color w:val="000000" w:themeColor="text1"/>
                <w:kern w:val="0"/>
                <w:sz w:val="20"/>
                <w:szCs w:val="21"/>
                <w14:textFill>
                  <w14:solidFill>
                    <w14:schemeClr w14:val="tx1"/>
                  </w14:solidFill>
                </w14:textFill>
              </w:rPr>
              <w:t>MRD追踪检测</w:t>
            </w:r>
          </w:p>
        </w:tc>
        <w:tc>
          <w:tcPr>
            <w:tcW w:w="7000" w:type="dxa"/>
            <w:vAlign w:val="center"/>
          </w:tcPr>
          <w:p w14:paraId="6A30870C">
            <w:pPr>
              <w:widowControl/>
              <w:jc w:val="left"/>
              <w:textAlignment w:val="center"/>
              <w:rPr>
                <w:rFonts w:hint="default" w:ascii="Times New Roman" w:hAnsi="Times New Roman" w:eastAsia="宋体" w:cs="Times New Roman"/>
                <w:color w:val="000000" w:themeColor="text1"/>
                <w:kern w:val="0"/>
                <w:sz w:val="20"/>
                <w:szCs w:val="21"/>
                <w:lang w:bidi="ar"/>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1.用途/检测范围：通过NGS技术对淋系肿瘤患者初诊样本进行IG/TCR克隆鉴定，锁定癌细胞独有的DNA序列标签，后在治疗各时间点追踪该序列动态变化，用于疗效评估、复发预警和移植决策指导。</w:t>
            </w:r>
          </w:p>
          <w:p w14:paraId="62B9C6DA">
            <w:pPr>
              <w:widowControl/>
              <w:jc w:val="left"/>
              <w:textAlignment w:val="center"/>
              <w:rPr>
                <w:rFonts w:hint="default" w:ascii="Times New Roman" w:hAnsi="Times New Roman" w:eastAsia="宋体" w:cs="Times New Roman"/>
                <w:color w:val="000000" w:themeColor="text1"/>
                <w:kern w:val="0"/>
                <w:sz w:val="20"/>
                <w:szCs w:val="21"/>
                <w:lang w:bidi="ar"/>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2.检测样本类型：骨髓/外周血</w:t>
            </w:r>
            <w:r>
              <w:rPr>
                <w:rFonts w:hint="default" w:ascii="Times New Roman" w:hAnsi="Times New Roman" w:eastAsia="宋体" w:cs="Times New Roman"/>
                <w:color w:val="000000" w:themeColor="text1"/>
                <w:kern w:val="0"/>
                <w:sz w:val="20"/>
                <w:szCs w:val="21"/>
                <w:lang w:bidi="ar"/>
                <w14:textFill>
                  <w14:solidFill>
                    <w14:schemeClr w14:val="tx1"/>
                  </w14:solidFill>
                </w14:textFill>
              </w:rPr>
              <w:br w:type="textWrapping"/>
            </w:r>
            <w:r>
              <w:rPr>
                <w:rFonts w:hint="default" w:ascii="Times New Roman" w:hAnsi="Times New Roman" w:eastAsia="宋体" w:cs="Times New Roman"/>
                <w:color w:val="000000" w:themeColor="text1"/>
                <w:kern w:val="0"/>
                <w:sz w:val="20"/>
                <w:szCs w:val="21"/>
                <w:lang w:bidi="ar"/>
                <w14:textFill>
                  <w14:solidFill>
                    <w14:schemeClr w14:val="tx1"/>
                  </w14:solidFill>
                </w14:textFill>
              </w:rPr>
              <w:t>3.方法学：NGS</w:t>
            </w:r>
          </w:p>
          <w:p w14:paraId="0C0E7DD4">
            <w:pPr>
              <w:widowControl/>
              <w:jc w:val="left"/>
              <w:textAlignment w:val="center"/>
              <w:rPr>
                <w:rFonts w:hint="default" w:ascii="Times New Roman" w:hAnsi="Times New Roman" w:eastAsia="宋体" w:cs="Times New Roman"/>
                <w:color w:val="000000" w:themeColor="text1"/>
                <w:kern w:val="0"/>
                <w:sz w:val="20"/>
                <w:szCs w:val="21"/>
                <w:lang w:bidi="ar"/>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4.试剂须具备医疗器械注册证或备案凭证。</w:t>
            </w:r>
          </w:p>
          <w:p w14:paraId="22FDDF52">
            <w:pPr>
              <w:rPr>
                <w:rFonts w:hint="default" w:ascii="Times New Roman" w:hAnsi="Times New Roman" w:eastAsia="宋体" w:cs="Times New Roman"/>
                <w:color w:val="000000" w:themeColor="text1"/>
                <w:kern w:val="0"/>
                <w:sz w:val="20"/>
                <w:szCs w:val="24"/>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5.</w:t>
            </w:r>
            <w:r>
              <w:rPr>
                <w:rFonts w:hint="default" w:ascii="Times New Roman" w:hAnsi="Times New Roman" w:eastAsia="宋体" w:cs="Times New Roman"/>
                <w:color w:val="000000" w:themeColor="text1"/>
                <w:kern w:val="0"/>
                <w:sz w:val="20"/>
                <w:szCs w:val="24"/>
                <w14:textFill>
                  <w14:solidFill>
                    <w14:schemeClr w14:val="tx1"/>
                  </w14:solidFill>
                </w14:textFill>
              </w:rPr>
              <w:t xml:space="preserve"> 能本地检验，分析系统能部署在院内指定服务器。</w:t>
            </w:r>
          </w:p>
          <w:p w14:paraId="006D1433">
            <w:pPr>
              <w:rPr>
                <w:rFonts w:hint="default" w:ascii="Times New Roman" w:hAnsi="Times New Roman" w:eastAsia="宋体" w:cs="Times New Roman"/>
                <w:color w:val="000000" w:themeColor="text1"/>
                <w:kern w:val="0"/>
                <w:sz w:val="20"/>
                <w:szCs w:val="24"/>
                <w14:textFill>
                  <w14:solidFill>
                    <w14:schemeClr w14:val="tx1"/>
                  </w14:solidFill>
                </w14:textFill>
              </w:rPr>
            </w:pPr>
            <w:r>
              <w:rPr>
                <w:rFonts w:hint="default" w:ascii="Times New Roman" w:hAnsi="Times New Roman" w:eastAsia="宋体" w:cs="Times New Roman"/>
                <w:color w:val="000000" w:themeColor="text1"/>
                <w:kern w:val="0"/>
                <w:sz w:val="20"/>
                <w:szCs w:val="24"/>
                <w:lang w:bidi="ar"/>
                <w14:textFill>
                  <w14:solidFill>
                    <w14:schemeClr w14:val="tx1"/>
                  </w14:solidFill>
                </w14:textFill>
              </w:rPr>
              <w:t>6</w:t>
            </w:r>
            <w:r>
              <w:rPr>
                <w:rFonts w:hint="default" w:ascii="Times New Roman" w:hAnsi="Times New Roman" w:eastAsia="宋体" w:cs="Times New Roman"/>
                <w:color w:val="000000" w:themeColor="text1"/>
                <w:kern w:val="0"/>
                <w:sz w:val="20"/>
                <w:szCs w:val="21"/>
                <w:lang w:bidi="ar"/>
                <w14:textFill>
                  <w14:solidFill>
                    <w14:schemeClr w14:val="tx1"/>
                  </w14:solidFill>
                </w14:textFill>
              </w:rPr>
              <w:t>.</w:t>
            </w:r>
            <w:r>
              <w:rPr>
                <w:rFonts w:hint="default" w:ascii="Times New Roman" w:hAnsi="Times New Roman" w:eastAsia="宋体" w:cs="Times New Roman"/>
                <w:color w:val="000000" w:themeColor="text1"/>
                <w:kern w:val="0"/>
                <w:sz w:val="20"/>
                <w:szCs w:val="24"/>
                <w14:textFill>
                  <w14:solidFill>
                    <w14:schemeClr w14:val="tx1"/>
                  </w14:solidFill>
                </w14:textFill>
              </w:rPr>
              <w:t>需具备临床检测相关资质，若遇院内仪器故障，可协助提供检测服务。</w:t>
            </w:r>
          </w:p>
          <w:p w14:paraId="73AC9FF9">
            <w:pPr>
              <w:widowControl/>
              <w:jc w:val="left"/>
              <w:textAlignment w:val="center"/>
              <w:rPr>
                <w:rFonts w:hint="default" w:ascii="Times New Roman" w:hAnsi="Times New Roman" w:eastAsia="宋体" w:cs="Times New Roman"/>
                <w:color w:val="000000" w:themeColor="text1"/>
                <w:kern w:val="0"/>
                <w:sz w:val="20"/>
                <w:szCs w:val="21"/>
                <w:lang w:bidi="ar"/>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7.</w:t>
            </w:r>
            <w:r>
              <w:rPr>
                <w:rFonts w:hint="default" w:ascii="Times New Roman" w:hAnsi="Times New Roman" w:eastAsia="宋体" w:cs="Times New Roman"/>
                <w:color w:val="000000" w:themeColor="text1"/>
                <w:kern w:val="0"/>
                <w:sz w:val="20"/>
                <w:szCs w:val="20"/>
                <w14:textFill>
                  <w14:solidFill>
                    <w14:schemeClr w14:val="tx1"/>
                  </w14:solidFill>
                </w14:textFill>
              </w:rPr>
              <w:t>对应</w:t>
            </w:r>
            <w:r>
              <w:rPr>
                <w:rFonts w:hint="default" w:ascii="Times New Roman" w:hAnsi="Times New Roman" w:eastAsia="宋体" w:cs="Times New Roman"/>
                <w:color w:val="000000" w:themeColor="text1"/>
                <w:kern w:val="0"/>
                <w:sz w:val="20"/>
                <w:szCs w:val="21"/>
                <w:lang w:bidi="ar"/>
                <w14:textFill>
                  <w14:solidFill>
                    <w14:schemeClr w14:val="tx1"/>
                  </w14:solidFill>
                </w14:textFill>
              </w:rPr>
              <w:t>试剂盒有效期不低于12个月。</w:t>
            </w:r>
          </w:p>
        </w:tc>
      </w:tr>
      <w:tr w14:paraId="220224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741" w:type="dxa"/>
            <w:vAlign w:val="center"/>
          </w:tcPr>
          <w:p w14:paraId="43CA3652">
            <w:pPr>
              <w:widowControl/>
              <w:jc w:val="center"/>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24</w:t>
            </w:r>
          </w:p>
        </w:tc>
        <w:tc>
          <w:tcPr>
            <w:tcW w:w="1936" w:type="dxa"/>
            <w:vAlign w:val="center"/>
          </w:tcPr>
          <w:p w14:paraId="3F92C620">
            <w:pPr>
              <w:rPr>
                <w:rFonts w:hint="default" w:ascii="Times New Roman" w:hAnsi="Times New Roman" w:eastAsia="宋体" w:cs="Times New Roman"/>
                <w:color w:val="000000" w:themeColor="text1"/>
                <w:kern w:val="0"/>
                <w:sz w:val="20"/>
                <w:szCs w:val="21"/>
                <w:highlight w:val="yellow"/>
                <w14:textFill>
                  <w14:solidFill>
                    <w14:schemeClr w14:val="tx1"/>
                  </w14:solidFill>
                </w14:textFill>
              </w:rPr>
            </w:pPr>
            <w:r>
              <w:rPr>
                <w:rFonts w:hint="default" w:ascii="Times New Roman" w:hAnsi="Times New Roman" w:eastAsia="宋体" w:cs="Times New Roman"/>
                <w:color w:val="000000" w:themeColor="text1"/>
                <w:kern w:val="0"/>
                <w:sz w:val="20"/>
                <w:szCs w:val="21"/>
                <w14:textFill>
                  <w14:solidFill>
                    <w14:schemeClr w14:val="tx1"/>
                  </w14:solidFill>
                </w14:textFill>
              </w:rPr>
              <w:t>免疫组库RNA检测（BCR）</w:t>
            </w:r>
          </w:p>
        </w:tc>
        <w:tc>
          <w:tcPr>
            <w:tcW w:w="7000" w:type="dxa"/>
            <w:vAlign w:val="center"/>
          </w:tcPr>
          <w:p w14:paraId="7CC78766">
            <w:pPr>
              <w:widowControl/>
              <w:jc w:val="left"/>
              <w:textAlignment w:val="center"/>
              <w:rPr>
                <w:rFonts w:hint="default" w:ascii="Times New Roman" w:hAnsi="Times New Roman" w:eastAsia="宋体" w:cs="Times New Roman"/>
                <w:color w:val="000000" w:themeColor="text1"/>
                <w:kern w:val="0"/>
                <w:sz w:val="20"/>
                <w:szCs w:val="21"/>
                <w:lang w:bidi="ar"/>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1.用途/检测范围：通过5'RACE单对引物建库法，从RNA中扩增BCR的全长序列或CDR3区域，进行高通量测序，以定性或定量检测免疫组库中的克隆类型、多样性、克隆频率，并追踪克隆随时间和部位的变化。该方法可覆盖BCR（IGH/IGK/IGL）各基因座，引入UMB/</w:t>
            </w:r>
            <w:bookmarkStart w:id="64" w:name="OLE_LINK8"/>
            <w:r>
              <w:rPr>
                <w:rFonts w:hint="default" w:ascii="Times New Roman" w:hAnsi="Times New Roman" w:eastAsia="宋体" w:cs="Times New Roman"/>
                <w:color w:val="000000" w:themeColor="text1"/>
                <w:kern w:val="0"/>
                <w:sz w:val="20"/>
                <w:szCs w:val="21"/>
                <w:lang w:bidi="ar"/>
                <w14:textFill>
                  <w14:solidFill>
                    <w14:schemeClr w14:val="tx1"/>
                  </w14:solidFill>
                </w14:textFill>
              </w:rPr>
              <w:t>UMI</w:t>
            </w:r>
            <w:bookmarkEnd w:id="64"/>
            <w:r>
              <w:rPr>
                <w:rFonts w:hint="default" w:ascii="Times New Roman" w:hAnsi="Times New Roman" w:eastAsia="宋体" w:cs="Times New Roman"/>
                <w:color w:val="000000" w:themeColor="text1"/>
                <w:kern w:val="0"/>
                <w:sz w:val="20"/>
                <w:szCs w:val="21"/>
                <w:lang w:bidi="ar"/>
                <w14:textFill>
                  <w14:solidFill>
                    <w14:schemeClr w14:val="tx1"/>
                  </w14:solidFill>
                </w14:textFill>
              </w:rPr>
              <w:t>技术还原PCR扩增前真实状态，杜绝PCR和测序错误，并能发现新的外显子基因与突变位点。</w:t>
            </w:r>
          </w:p>
          <w:p w14:paraId="0DA242BA">
            <w:pPr>
              <w:widowControl/>
              <w:jc w:val="left"/>
              <w:textAlignment w:val="center"/>
              <w:rPr>
                <w:rFonts w:hint="default" w:ascii="Times New Roman" w:hAnsi="Times New Roman" w:eastAsia="宋体" w:cs="Times New Roman"/>
                <w:color w:val="000000" w:themeColor="text1"/>
                <w:kern w:val="0"/>
                <w:sz w:val="20"/>
                <w:szCs w:val="21"/>
                <w:lang w:bidi="ar"/>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2.检测样本类型：外周血</w:t>
            </w:r>
          </w:p>
          <w:p w14:paraId="24E697FD">
            <w:pPr>
              <w:widowControl/>
              <w:jc w:val="left"/>
              <w:textAlignment w:val="center"/>
              <w:rPr>
                <w:rFonts w:hint="default" w:ascii="Times New Roman" w:hAnsi="Times New Roman" w:eastAsia="宋体" w:cs="Times New Roman"/>
                <w:color w:val="000000" w:themeColor="text1"/>
                <w:kern w:val="0"/>
                <w:sz w:val="20"/>
                <w:szCs w:val="21"/>
                <w:lang w:bidi="ar"/>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3.方法学：NGS</w:t>
            </w:r>
          </w:p>
          <w:p w14:paraId="3D618426">
            <w:pPr>
              <w:widowControl/>
              <w:jc w:val="left"/>
              <w:textAlignment w:val="center"/>
              <w:rPr>
                <w:rFonts w:hint="default" w:ascii="Times New Roman" w:hAnsi="Times New Roman" w:eastAsia="宋体" w:cs="Times New Roman"/>
                <w:color w:val="000000" w:themeColor="text1"/>
                <w:kern w:val="0"/>
                <w:sz w:val="20"/>
                <w:szCs w:val="21"/>
                <w:lang w:bidi="ar"/>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4.试剂须具备医疗器械注册证或备案凭证。</w:t>
            </w:r>
          </w:p>
          <w:p w14:paraId="61178B55">
            <w:pPr>
              <w:rPr>
                <w:rFonts w:hint="default" w:ascii="Times New Roman" w:hAnsi="Times New Roman" w:eastAsia="宋体" w:cs="Times New Roman"/>
                <w:color w:val="000000" w:themeColor="text1"/>
                <w:kern w:val="0"/>
                <w:sz w:val="20"/>
                <w:szCs w:val="24"/>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5.</w:t>
            </w:r>
            <w:r>
              <w:rPr>
                <w:rFonts w:hint="default" w:ascii="Times New Roman" w:hAnsi="Times New Roman" w:eastAsia="宋体" w:cs="Times New Roman"/>
                <w:color w:val="000000" w:themeColor="text1"/>
                <w:kern w:val="0"/>
                <w:sz w:val="20"/>
                <w:szCs w:val="24"/>
                <w14:textFill>
                  <w14:solidFill>
                    <w14:schemeClr w14:val="tx1"/>
                  </w14:solidFill>
                </w14:textFill>
              </w:rPr>
              <w:t xml:space="preserve"> 能本地检验，分析系统能部署在院内指定服务器。</w:t>
            </w:r>
          </w:p>
          <w:p w14:paraId="5F491A70">
            <w:pPr>
              <w:rPr>
                <w:rFonts w:hint="default" w:ascii="Times New Roman" w:hAnsi="Times New Roman" w:eastAsia="宋体" w:cs="Times New Roman"/>
                <w:color w:val="000000" w:themeColor="text1"/>
                <w:kern w:val="0"/>
                <w:sz w:val="20"/>
                <w:szCs w:val="24"/>
                <w14:textFill>
                  <w14:solidFill>
                    <w14:schemeClr w14:val="tx1"/>
                  </w14:solidFill>
                </w14:textFill>
              </w:rPr>
            </w:pPr>
            <w:r>
              <w:rPr>
                <w:rFonts w:hint="default" w:ascii="Times New Roman" w:hAnsi="Times New Roman" w:eastAsia="宋体" w:cs="Times New Roman"/>
                <w:color w:val="000000" w:themeColor="text1"/>
                <w:kern w:val="0"/>
                <w:sz w:val="20"/>
                <w:szCs w:val="24"/>
                <w:lang w:bidi="ar"/>
                <w14:textFill>
                  <w14:solidFill>
                    <w14:schemeClr w14:val="tx1"/>
                  </w14:solidFill>
                </w14:textFill>
              </w:rPr>
              <w:t>6</w:t>
            </w:r>
            <w:r>
              <w:rPr>
                <w:rFonts w:hint="default" w:ascii="Times New Roman" w:hAnsi="Times New Roman" w:eastAsia="宋体" w:cs="Times New Roman"/>
                <w:color w:val="000000" w:themeColor="text1"/>
                <w:kern w:val="0"/>
                <w:sz w:val="20"/>
                <w:szCs w:val="21"/>
                <w:lang w:bidi="ar"/>
                <w14:textFill>
                  <w14:solidFill>
                    <w14:schemeClr w14:val="tx1"/>
                  </w14:solidFill>
                </w14:textFill>
              </w:rPr>
              <w:t>.</w:t>
            </w:r>
            <w:r>
              <w:rPr>
                <w:rFonts w:hint="default" w:ascii="Times New Roman" w:hAnsi="Times New Roman" w:eastAsia="宋体" w:cs="Times New Roman"/>
                <w:color w:val="000000" w:themeColor="text1"/>
                <w:kern w:val="0"/>
                <w:sz w:val="20"/>
                <w:szCs w:val="24"/>
                <w14:textFill>
                  <w14:solidFill>
                    <w14:schemeClr w14:val="tx1"/>
                  </w14:solidFill>
                </w14:textFill>
              </w:rPr>
              <w:t>需具备临床检测相关资质，若遇院内仪器故障，可协助提供检测服务。</w:t>
            </w:r>
          </w:p>
          <w:p w14:paraId="12881D5F">
            <w:pPr>
              <w:widowControl/>
              <w:jc w:val="left"/>
              <w:textAlignment w:val="center"/>
              <w:rPr>
                <w:rFonts w:hint="default" w:ascii="Times New Roman" w:hAnsi="Times New Roman" w:eastAsia="宋体" w:cs="Times New Roman"/>
                <w:color w:val="000000" w:themeColor="text1"/>
                <w:kern w:val="0"/>
                <w:sz w:val="20"/>
                <w:szCs w:val="21"/>
                <w:lang w:bidi="ar"/>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7.</w:t>
            </w:r>
            <w:r>
              <w:rPr>
                <w:rFonts w:hint="default" w:ascii="Times New Roman" w:hAnsi="Times New Roman" w:eastAsia="宋体" w:cs="Times New Roman"/>
                <w:color w:val="000000" w:themeColor="text1"/>
                <w:kern w:val="0"/>
                <w:sz w:val="20"/>
                <w:szCs w:val="20"/>
                <w14:textFill>
                  <w14:solidFill>
                    <w14:schemeClr w14:val="tx1"/>
                  </w14:solidFill>
                </w14:textFill>
              </w:rPr>
              <w:t>对应</w:t>
            </w:r>
            <w:r>
              <w:rPr>
                <w:rFonts w:hint="default" w:ascii="Times New Roman" w:hAnsi="Times New Roman" w:eastAsia="宋体" w:cs="Times New Roman"/>
                <w:color w:val="000000" w:themeColor="text1"/>
                <w:kern w:val="0"/>
                <w:sz w:val="20"/>
                <w:szCs w:val="21"/>
                <w:lang w:bidi="ar"/>
                <w14:textFill>
                  <w14:solidFill>
                    <w14:schemeClr w14:val="tx1"/>
                  </w14:solidFill>
                </w14:textFill>
              </w:rPr>
              <w:t>试剂盒有效期不低于12个月。</w:t>
            </w:r>
          </w:p>
        </w:tc>
      </w:tr>
      <w:tr w14:paraId="5B1433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741" w:type="dxa"/>
            <w:vAlign w:val="center"/>
          </w:tcPr>
          <w:p w14:paraId="4751122A">
            <w:pPr>
              <w:widowControl/>
              <w:jc w:val="center"/>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25</w:t>
            </w:r>
          </w:p>
        </w:tc>
        <w:tc>
          <w:tcPr>
            <w:tcW w:w="1936" w:type="dxa"/>
            <w:vAlign w:val="center"/>
          </w:tcPr>
          <w:p w14:paraId="0C32A775">
            <w:pPr>
              <w:rPr>
                <w:rFonts w:hint="default" w:ascii="Times New Roman" w:hAnsi="Times New Roman" w:eastAsia="宋体" w:cs="Times New Roman"/>
                <w:color w:val="000000" w:themeColor="text1"/>
                <w:kern w:val="0"/>
                <w:sz w:val="20"/>
                <w:szCs w:val="21"/>
                <w14:textFill>
                  <w14:solidFill>
                    <w14:schemeClr w14:val="tx1"/>
                  </w14:solidFill>
                </w14:textFill>
              </w:rPr>
            </w:pPr>
            <w:r>
              <w:rPr>
                <w:rFonts w:hint="default" w:ascii="Times New Roman" w:hAnsi="Times New Roman" w:eastAsia="宋体" w:cs="Times New Roman"/>
                <w:color w:val="000000" w:themeColor="text1"/>
                <w:kern w:val="0"/>
                <w:sz w:val="20"/>
                <w:szCs w:val="21"/>
                <w14:textFill>
                  <w14:solidFill>
                    <w14:schemeClr w14:val="tx1"/>
                  </w14:solidFill>
                </w14:textFill>
              </w:rPr>
              <w:t>免疫组库RNA检测（TCR）</w:t>
            </w:r>
          </w:p>
        </w:tc>
        <w:tc>
          <w:tcPr>
            <w:tcW w:w="7000" w:type="dxa"/>
            <w:vAlign w:val="center"/>
          </w:tcPr>
          <w:p w14:paraId="0E4EF0F3">
            <w:pPr>
              <w:widowControl/>
              <w:jc w:val="left"/>
              <w:textAlignment w:val="center"/>
              <w:rPr>
                <w:rFonts w:hint="default" w:ascii="Times New Roman" w:hAnsi="Times New Roman" w:eastAsia="宋体" w:cs="Times New Roman"/>
                <w:color w:val="000000" w:themeColor="text1"/>
                <w:kern w:val="0"/>
                <w:sz w:val="20"/>
                <w:szCs w:val="21"/>
                <w:lang w:bidi="ar"/>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1.用途/检测范围：通过5'RACE单对引物建库法，从RNA中扩增TCR的全长序列或CDR3区域，进行高通量测序，以定性或定量检测免疫组库中的克隆类型、多样性、克隆频率，并追踪克隆随时间和部位的变化。该方法可覆盖TCR（α/β/γ/δ链）各基因座，引入UMB/UMI技术还原PCR扩增前真实状态，杜绝PCR和测序错误，并能发现新的外显子基因与突变位点。</w:t>
            </w:r>
          </w:p>
          <w:p w14:paraId="057E4BA9">
            <w:pPr>
              <w:widowControl/>
              <w:jc w:val="left"/>
              <w:textAlignment w:val="center"/>
              <w:rPr>
                <w:rFonts w:hint="default" w:ascii="Times New Roman" w:hAnsi="Times New Roman" w:eastAsia="宋体" w:cs="Times New Roman"/>
                <w:color w:val="000000" w:themeColor="text1"/>
                <w:kern w:val="0"/>
                <w:sz w:val="20"/>
                <w:szCs w:val="21"/>
                <w:lang w:bidi="ar"/>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2.检测样本类型：外周血</w:t>
            </w:r>
          </w:p>
          <w:p w14:paraId="59293A68">
            <w:pPr>
              <w:widowControl/>
              <w:jc w:val="left"/>
              <w:textAlignment w:val="center"/>
              <w:rPr>
                <w:rFonts w:hint="default" w:ascii="Times New Roman" w:hAnsi="Times New Roman" w:eastAsia="宋体" w:cs="Times New Roman"/>
                <w:color w:val="000000" w:themeColor="text1"/>
                <w:kern w:val="0"/>
                <w:sz w:val="20"/>
                <w:szCs w:val="21"/>
                <w:lang w:bidi="ar"/>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3.方法学：NGS</w:t>
            </w:r>
          </w:p>
          <w:p w14:paraId="1DB28179">
            <w:pPr>
              <w:widowControl/>
              <w:jc w:val="left"/>
              <w:textAlignment w:val="center"/>
              <w:rPr>
                <w:rFonts w:hint="default" w:ascii="Times New Roman" w:hAnsi="Times New Roman" w:eastAsia="宋体" w:cs="Times New Roman"/>
                <w:color w:val="000000" w:themeColor="text1"/>
                <w:kern w:val="0"/>
                <w:sz w:val="20"/>
                <w:szCs w:val="21"/>
                <w:lang w:bidi="ar"/>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4.试剂须具备医疗器械注册证或备案凭证。</w:t>
            </w:r>
          </w:p>
          <w:p w14:paraId="641DC2B1">
            <w:pPr>
              <w:rPr>
                <w:rFonts w:hint="default" w:ascii="Times New Roman" w:hAnsi="Times New Roman" w:eastAsia="宋体" w:cs="Times New Roman"/>
                <w:color w:val="000000" w:themeColor="text1"/>
                <w:kern w:val="0"/>
                <w:sz w:val="20"/>
                <w:szCs w:val="24"/>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5.</w:t>
            </w:r>
            <w:r>
              <w:rPr>
                <w:rFonts w:hint="default" w:ascii="Times New Roman" w:hAnsi="Times New Roman" w:eastAsia="宋体" w:cs="Times New Roman"/>
                <w:color w:val="000000" w:themeColor="text1"/>
                <w:kern w:val="0"/>
                <w:sz w:val="20"/>
                <w:szCs w:val="24"/>
                <w14:textFill>
                  <w14:solidFill>
                    <w14:schemeClr w14:val="tx1"/>
                  </w14:solidFill>
                </w14:textFill>
              </w:rPr>
              <w:t xml:space="preserve"> 能本地检验，分析系统能部署在院内指定服务器。</w:t>
            </w:r>
          </w:p>
          <w:p w14:paraId="64C2E1EE">
            <w:pPr>
              <w:rPr>
                <w:rFonts w:hint="default" w:ascii="Times New Roman" w:hAnsi="Times New Roman" w:eastAsia="宋体" w:cs="Times New Roman"/>
                <w:color w:val="000000" w:themeColor="text1"/>
                <w:kern w:val="0"/>
                <w:sz w:val="20"/>
                <w:szCs w:val="24"/>
                <w14:textFill>
                  <w14:solidFill>
                    <w14:schemeClr w14:val="tx1"/>
                  </w14:solidFill>
                </w14:textFill>
              </w:rPr>
            </w:pPr>
            <w:r>
              <w:rPr>
                <w:rFonts w:hint="default" w:ascii="Times New Roman" w:hAnsi="Times New Roman" w:eastAsia="宋体" w:cs="Times New Roman"/>
                <w:color w:val="000000" w:themeColor="text1"/>
                <w:kern w:val="0"/>
                <w:sz w:val="20"/>
                <w:szCs w:val="24"/>
                <w:lang w:bidi="ar"/>
                <w14:textFill>
                  <w14:solidFill>
                    <w14:schemeClr w14:val="tx1"/>
                  </w14:solidFill>
                </w14:textFill>
              </w:rPr>
              <w:t>6</w:t>
            </w:r>
            <w:r>
              <w:rPr>
                <w:rFonts w:hint="default" w:ascii="Times New Roman" w:hAnsi="Times New Roman" w:eastAsia="宋体" w:cs="Times New Roman"/>
                <w:color w:val="000000" w:themeColor="text1"/>
                <w:kern w:val="0"/>
                <w:sz w:val="20"/>
                <w:szCs w:val="21"/>
                <w:lang w:bidi="ar"/>
                <w14:textFill>
                  <w14:solidFill>
                    <w14:schemeClr w14:val="tx1"/>
                  </w14:solidFill>
                </w14:textFill>
              </w:rPr>
              <w:t>.</w:t>
            </w:r>
            <w:r>
              <w:rPr>
                <w:rFonts w:hint="default" w:ascii="Times New Roman" w:hAnsi="Times New Roman" w:eastAsia="宋体" w:cs="Times New Roman"/>
                <w:color w:val="000000" w:themeColor="text1"/>
                <w:kern w:val="0"/>
                <w:sz w:val="20"/>
                <w:szCs w:val="24"/>
                <w14:textFill>
                  <w14:solidFill>
                    <w14:schemeClr w14:val="tx1"/>
                  </w14:solidFill>
                </w14:textFill>
              </w:rPr>
              <w:t>需具备临床检测相关资质，若遇院内仪器故障，可协助提供检测服务。</w:t>
            </w:r>
          </w:p>
          <w:p w14:paraId="23625B4D">
            <w:pPr>
              <w:widowControl/>
              <w:jc w:val="left"/>
              <w:textAlignment w:val="center"/>
              <w:rPr>
                <w:rFonts w:hint="default" w:ascii="Times New Roman" w:hAnsi="Times New Roman" w:eastAsia="宋体" w:cs="Times New Roman"/>
                <w:color w:val="000000" w:themeColor="text1"/>
                <w:kern w:val="0"/>
                <w:sz w:val="20"/>
                <w:szCs w:val="21"/>
                <w:lang w:bidi="ar"/>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7.</w:t>
            </w:r>
            <w:r>
              <w:rPr>
                <w:rFonts w:hint="default" w:ascii="Times New Roman" w:hAnsi="Times New Roman" w:eastAsia="宋体" w:cs="Times New Roman"/>
                <w:color w:val="000000" w:themeColor="text1"/>
                <w:kern w:val="0"/>
                <w:sz w:val="20"/>
                <w:szCs w:val="20"/>
                <w14:textFill>
                  <w14:solidFill>
                    <w14:schemeClr w14:val="tx1"/>
                  </w14:solidFill>
                </w14:textFill>
              </w:rPr>
              <w:t>对应</w:t>
            </w:r>
            <w:r>
              <w:rPr>
                <w:rFonts w:hint="default" w:ascii="Times New Roman" w:hAnsi="Times New Roman" w:eastAsia="宋体" w:cs="Times New Roman"/>
                <w:color w:val="000000" w:themeColor="text1"/>
                <w:kern w:val="0"/>
                <w:sz w:val="20"/>
                <w:szCs w:val="21"/>
                <w:lang w:bidi="ar"/>
                <w14:textFill>
                  <w14:solidFill>
                    <w14:schemeClr w14:val="tx1"/>
                  </w14:solidFill>
                </w14:textFill>
              </w:rPr>
              <w:t>试剂盒有效期不低于12个月。</w:t>
            </w:r>
          </w:p>
        </w:tc>
      </w:tr>
      <w:tr w14:paraId="39502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741" w:type="dxa"/>
            <w:vAlign w:val="center"/>
          </w:tcPr>
          <w:p w14:paraId="31046077">
            <w:pPr>
              <w:widowControl/>
              <w:jc w:val="center"/>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26</w:t>
            </w:r>
          </w:p>
        </w:tc>
        <w:tc>
          <w:tcPr>
            <w:tcW w:w="1936" w:type="dxa"/>
            <w:vAlign w:val="center"/>
          </w:tcPr>
          <w:p w14:paraId="0FF5869B">
            <w:pPr>
              <w:rPr>
                <w:rFonts w:hint="default" w:ascii="Times New Roman" w:hAnsi="Times New Roman" w:eastAsia="宋体" w:cs="Times New Roman"/>
                <w:color w:val="000000" w:themeColor="text1"/>
                <w:kern w:val="0"/>
                <w:sz w:val="20"/>
                <w:szCs w:val="21"/>
                <w14:textFill>
                  <w14:solidFill>
                    <w14:schemeClr w14:val="tx1"/>
                  </w14:solidFill>
                </w14:textFill>
              </w:rPr>
            </w:pPr>
            <w:r>
              <w:rPr>
                <w:rFonts w:hint="default" w:ascii="Times New Roman" w:hAnsi="Times New Roman" w:eastAsia="宋体" w:cs="Times New Roman"/>
                <w:color w:val="000000" w:themeColor="text1"/>
                <w:kern w:val="0"/>
                <w:sz w:val="20"/>
                <w:szCs w:val="21"/>
                <w14:textFill>
                  <w14:solidFill>
                    <w14:schemeClr w14:val="tx1"/>
                  </w14:solidFill>
                </w14:textFill>
              </w:rPr>
              <w:t>单项-基因突变定量(数字PCR)</w:t>
            </w:r>
          </w:p>
        </w:tc>
        <w:tc>
          <w:tcPr>
            <w:tcW w:w="7000" w:type="dxa"/>
            <w:vAlign w:val="center"/>
          </w:tcPr>
          <w:p w14:paraId="5939A5D3">
            <w:pPr>
              <w:widowControl/>
              <w:jc w:val="left"/>
              <w:textAlignment w:val="center"/>
              <w:rPr>
                <w:rFonts w:hint="default" w:ascii="Times New Roman" w:hAnsi="Times New Roman" w:eastAsia="宋体" w:cs="Times New Roman"/>
                <w:color w:val="000000" w:themeColor="text1"/>
                <w:kern w:val="0"/>
                <w:sz w:val="20"/>
                <w:szCs w:val="21"/>
                <w:lang w:bidi="ar"/>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1.用途/检测范围：根据疾病诊断和治疗监测需求，对单个基因突变进行检测</w:t>
            </w:r>
            <w:r>
              <w:rPr>
                <w:rFonts w:hint="default" w:ascii="Times New Roman" w:hAnsi="Times New Roman" w:eastAsia="宋体" w:cs="Times New Roman"/>
                <w:color w:val="000000" w:themeColor="text1"/>
                <w:kern w:val="0"/>
                <w:sz w:val="20"/>
                <w:szCs w:val="21"/>
                <w:lang w:bidi="ar"/>
                <w14:textFill>
                  <w14:solidFill>
                    <w14:schemeClr w14:val="tx1"/>
                  </w14:solidFill>
                </w14:textFill>
              </w:rPr>
              <w:br w:type="textWrapping"/>
            </w:r>
            <w:r>
              <w:rPr>
                <w:rFonts w:hint="default" w:ascii="Times New Roman" w:hAnsi="Times New Roman" w:eastAsia="宋体" w:cs="Times New Roman"/>
                <w:color w:val="000000" w:themeColor="text1"/>
                <w:kern w:val="0"/>
                <w:sz w:val="20"/>
                <w:szCs w:val="21"/>
                <w:lang w:bidi="ar"/>
                <w14:textFill>
                  <w14:solidFill>
                    <w14:schemeClr w14:val="tx1"/>
                  </w14:solidFill>
                </w14:textFill>
              </w:rPr>
              <w:t>2.检测样本类型：骨髓/外周血</w:t>
            </w:r>
            <w:r>
              <w:rPr>
                <w:rFonts w:hint="default" w:ascii="Times New Roman" w:hAnsi="Times New Roman" w:eastAsia="宋体" w:cs="Times New Roman"/>
                <w:color w:val="000000" w:themeColor="text1"/>
                <w:kern w:val="0"/>
                <w:sz w:val="20"/>
                <w:szCs w:val="21"/>
                <w:lang w:bidi="ar"/>
                <w14:textFill>
                  <w14:solidFill>
                    <w14:schemeClr w14:val="tx1"/>
                  </w14:solidFill>
                </w14:textFill>
              </w:rPr>
              <w:br w:type="textWrapping"/>
            </w:r>
            <w:r>
              <w:rPr>
                <w:rFonts w:hint="default" w:ascii="Times New Roman" w:hAnsi="Times New Roman" w:eastAsia="宋体" w:cs="Times New Roman"/>
                <w:color w:val="000000" w:themeColor="text1"/>
                <w:kern w:val="0"/>
                <w:sz w:val="20"/>
                <w:szCs w:val="21"/>
                <w:lang w:bidi="ar"/>
                <w14:textFill>
                  <w14:solidFill>
                    <w14:schemeClr w14:val="tx1"/>
                  </w14:solidFill>
                </w14:textFill>
              </w:rPr>
              <w:t>3.方法学：</w:t>
            </w:r>
            <w:r>
              <w:rPr>
                <w:rFonts w:hint="default" w:ascii="Times New Roman" w:hAnsi="Times New Roman" w:eastAsia="宋体" w:cs="Times New Roman"/>
                <w:color w:val="000000" w:themeColor="text1"/>
                <w:kern w:val="0"/>
                <w:sz w:val="20"/>
                <w:szCs w:val="21"/>
                <w14:textFill>
                  <w14:solidFill>
                    <w14:schemeClr w14:val="tx1"/>
                  </w14:solidFill>
                </w14:textFill>
              </w:rPr>
              <w:t>数字PCR</w:t>
            </w:r>
          </w:p>
          <w:p w14:paraId="139B6E5D">
            <w:pPr>
              <w:widowControl/>
              <w:jc w:val="left"/>
              <w:textAlignment w:val="center"/>
              <w:rPr>
                <w:rFonts w:hint="default" w:ascii="Times New Roman" w:hAnsi="Times New Roman" w:eastAsia="宋体" w:cs="Times New Roman"/>
                <w:color w:val="000000" w:themeColor="text1"/>
                <w:kern w:val="0"/>
                <w:sz w:val="20"/>
                <w:szCs w:val="21"/>
                <w:lang w:bidi="ar"/>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4.试剂须具备医疗器械注册证或备案凭证。</w:t>
            </w:r>
          </w:p>
          <w:p w14:paraId="4CE5B00A">
            <w:pPr>
              <w:rPr>
                <w:rFonts w:hint="default" w:ascii="Times New Roman" w:hAnsi="Times New Roman" w:eastAsia="宋体" w:cs="Times New Roman"/>
                <w:color w:val="000000" w:themeColor="text1"/>
                <w:kern w:val="0"/>
                <w:sz w:val="20"/>
                <w:szCs w:val="24"/>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5.</w:t>
            </w:r>
            <w:r>
              <w:rPr>
                <w:rFonts w:hint="default" w:ascii="Times New Roman" w:hAnsi="Times New Roman" w:eastAsia="宋体" w:cs="Times New Roman"/>
                <w:color w:val="000000" w:themeColor="text1"/>
                <w:kern w:val="0"/>
                <w:sz w:val="20"/>
                <w:szCs w:val="24"/>
                <w14:textFill>
                  <w14:solidFill>
                    <w14:schemeClr w14:val="tx1"/>
                  </w14:solidFill>
                </w14:textFill>
              </w:rPr>
              <w:t xml:space="preserve"> 能本地检验，分析系统能部署在院内指定服务器。</w:t>
            </w:r>
          </w:p>
          <w:p w14:paraId="229F49B3">
            <w:pPr>
              <w:rPr>
                <w:rFonts w:hint="default" w:ascii="Times New Roman" w:hAnsi="Times New Roman" w:eastAsia="宋体" w:cs="Times New Roman"/>
                <w:color w:val="000000" w:themeColor="text1"/>
                <w:kern w:val="0"/>
                <w:sz w:val="20"/>
                <w:szCs w:val="24"/>
                <w14:textFill>
                  <w14:solidFill>
                    <w14:schemeClr w14:val="tx1"/>
                  </w14:solidFill>
                </w14:textFill>
              </w:rPr>
            </w:pPr>
            <w:r>
              <w:rPr>
                <w:rFonts w:hint="default" w:ascii="Times New Roman" w:hAnsi="Times New Roman" w:eastAsia="宋体" w:cs="Times New Roman"/>
                <w:color w:val="000000" w:themeColor="text1"/>
                <w:kern w:val="0"/>
                <w:sz w:val="20"/>
                <w:szCs w:val="24"/>
                <w:lang w:bidi="ar"/>
                <w14:textFill>
                  <w14:solidFill>
                    <w14:schemeClr w14:val="tx1"/>
                  </w14:solidFill>
                </w14:textFill>
              </w:rPr>
              <w:t>6</w:t>
            </w:r>
            <w:r>
              <w:rPr>
                <w:rFonts w:hint="default" w:ascii="Times New Roman" w:hAnsi="Times New Roman" w:eastAsia="宋体" w:cs="Times New Roman"/>
                <w:color w:val="000000" w:themeColor="text1"/>
                <w:kern w:val="0"/>
                <w:sz w:val="20"/>
                <w:szCs w:val="21"/>
                <w:lang w:bidi="ar"/>
                <w14:textFill>
                  <w14:solidFill>
                    <w14:schemeClr w14:val="tx1"/>
                  </w14:solidFill>
                </w14:textFill>
              </w:rPr>
              <w:t>.</w:t>
            </w:r>
            <w:r>
              <w:rPr>
                <w:rFonts w:hint="default" w:ascii="Times New Roman" w:hAnsi="Times New Roman" w:eastAsia="宋体" w:cs="Times New Roman"/>
                <w:color w:val="000000" w:themeColor="text1"/>
                <w:kern w:val="0"/>
                <w:sz w:val="20"/>
                <w:szCs w:val="24"/>
                <w14:textFill>
                  <w14:solidFill>
                    <w14:schemeClr w14:val="tx1"/>
                  </w14:solidFill>
                </w14:textFill>
              </w:rPr>
              <w:t>需具备临床检测相关资质，若遇院内仪器故障，可协助提供检测服务。</w:t>
            </w:r>
          </w:p>
          <w:p w14:paraId="53DB183D">
            <w:pPr>
              <w:widowControl/>
              <w:jc w:val="left"/>
              <w:textAlignment w:val="center"/>
              <w:rPr>
                <w:rFonts w:hint="default" w:ascii="Times New Roman" w:hAnsi="Times New Roman" w:eastAsia="宋体" w:cs="Times New Roman"/>
                <w:color w:val="000000" w:themeColor="text1"/>
                <w:kern w:val="0"/>
                <w:sz w:val="20"/>
                <w:szCs w:val="21"/>
                <w:lang w:bidi="ar"/>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7.</w:t>
            </w:r>
            <w:r>
              <w:rPr>
                <w:rFonts w:hint="default" w:ascii="Times New Roman" w:hAnsi="Times New Roman" w:eastAsia="宋体" w:cs="Times New Roman"/>
                <w:color w:val="000000" w:themeColor="text1"/>
                <w:kern w:val="0"/>
                <w:sz w:val="20"/>
                <w:szCs w:val="20"/>
                <w14:textFill>
                  <w14:solidFill>
                    <w14:schemeClr w14:val="tx1"/>
                  </w14:solidFill>
                </w14:textFill>
              </w:rPr>
              <w:t>对应</w:t>
            </w:r>
            <w:r>
              <w:rPr>
                <w:rFonts w:hint="default" w:ascii="Times New Roman" w:hAnsi="Times New Roman" w:eastAsia="宋体" w:cs="Times New Roman"/>
                <w:color w:val="000000" w:themeColor="text1"/>
                <w:kern w:val="0"/>
                <w:sz w:val="20"/>
                <w:szCs w:val="21"/>
                <w:lang w:bidi="ar"/>
                <w14:textFill>
                  <w14:solidFill>
                    <w14:schemeClr w14:val="tx1"/>
                  </w14:solidFill>
                </w14:textFill>
              </w:rPr>
              <w:t>试剂盒有效期不低于12个月。</w:t>
            </w:r>
          </w:p>
        </w:tc>
      </w:tr>
      <w:tr w14:paraId="349EAE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7" w:hRule="atLeast"/>
        </w:trPr>
        <w:tc>
          <w:tcPr>
            <w:tcW w:w="741" w:type="dxa"/>
            <w:vAlign w:val="center"/>
          </w:tcPr>
          <w:p w14:paraId="52717F97">
            <w:pPr>
              <w:widowControl/>
              <w:jc w:val="center"/>
              <w:textAlignment w:val="center"/>
              <w:rPr>
                <w:rFonts w:hint="default" w:ascii="Times New Roman" w:hAnsi="Times New Roman" w:eastAsia="宋体" w:cs="Times New Roman"/>
                <w:color w:val="000000"/>
                <w:kern w:val="0"/>
                <w:sz w:val="20"/>
                <w:szCs w:val="21"/>
                <w:lang w:bidi="ar"/>
              </w:rPr>
            </w:pPr>
            <w:r>
              <w:rPr>
                <w:rFonts w:hint="default" w:ascii="Times New Roman" w:hAnsi="Times New Roman" w:eastAsia="宋体" w:cs="Times New Roman"/>
                <w:color w:val="000000"/>
                <w:kern w:val="0"/>
                <w:sz w:val="20"/>
                <w:szCs w:val="21"/>
                <w:lang w:bidi="ar"/>
              </w:rPr>
              <w:t>27</w:t>
            </w:r>
          </w:p>
        </w:tc>
        <w:tc>
          <w:tcPr>
            <w:tcW w:w="1936" w:type="dxa"/>
            <w:vAlign w:val="center"/>
          </w:tcPr>
          <w:p w14:paraId="67389EBE">
            <w:pPr>
              <w:rPr>
                <w:rFonts w:hint="default" w:ascii="Times New Roman" w:hAnsi="Times New Roman" w:eastAsia="宋体" w:cs="Times New Roman"/>
                <w:color w:val="000000" w:themeColor="text1"/>
                <w:kern w:val="0"/>
                <w:sz w:val="20"/>
                <w:szCs w:val="21"/>
                <w14:textFill>
                  <w14:solidFill>
                    <w14:schemeClr w14:val="tx1"/>
                  </w14:solidFill>
                </w14:textFill>
              </w:rPr>
            </w:pPr>
            <w:r>
              <w:rPr>
                <w:rFonts w:hint="default" w:ascii="Times New Roman" w:hAnsi="Times New Roman" w:eastAsia="宋体" w:cs="Times New Roman"/>
                <w:color w:val="000000" w:themeColor="text1"/>
                <w:kern w:val="0"/>
                <w:sz w:val="20"/>
                <w:szCs w:val="21"/>
                <w14:textFill>
                  <w14:solidFill>
                    <w14:schemeClr w14:val="tx1"/>
                  </w14:solidFill>
                </w14:textFill>
              </w:rPr>
              <w:t>单项-融合基因定量(荧光+数字PCR)</w:t>
            </w:r>
          </w:p>
        </w:tc>
        <w:tc>
          <w:tcPr>
            <w:tcW w:w="7000" w:type="dxa"/>
            <w:vAlign w:val="center"/>
          </w:tcPr>
          <w:p w14:paraId="022EC588">
            <w:pPr>
              <w:widowControl/>
              <w:jc w:val="left"/>
              <w:textAlignment w:val="center"/>
              <w:rPr>
                <w:rFonts w:hint="default" w:ascii="Times New Roman" w:hAnsi="Times New Roman" w:eastAsia="宋体" w:cs="Times New Roman"/>
                <w:color w:val="000000" w:themeColor="text1"/>
                <w:kern w:val="0"/>
                <w:sz w:val="20"/>
                <w:szCs w:val="21"/>
                <w:lang w:bidi="ar"/>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1.用途/检测范围：根据疾病诊断和治疗监测需求，对单个融合基因进行检测</w:t>
            </w:r>
            <w:r>
              <w:rPr>
                <w:rFonts w:hint="default" w:ascii="Times New Roman" w:hAnsi="Times New Roman" w:eastAsia="宋体" w:cs="Times New Roman"/>
                <w:color w:val="000000" w:themeColor="text1"/>
                <w:kern w:val="0"/>
                <w:sz w:val="20"/>
                <w:szCs w:val="21"/>
                <w:lang w:bidi="ar"/>
                <w14:textFill>
                  <w14:solidFill>
                    <w14:schemeClr w14:val="tx1"/>
                  </w14:solidFill>
                </w14:textFill>
              </w:rPr>
              <w:br w:type="textWrapping"/>
            </w:r>
            <w:r>
              <w:rPr>
                <w:rFonts w:hint="default" w:ascii="Times New Roman" w:hAnsi="Times New Roman" w:eastAsia="宋体" w:cs="Times New Roman"/>
                <w:color w:val="000000" w:themeColor="text1"/>
                <w:kern w:val="0"/>
                <w:sz w:val="20"/>
                <w:szCs w:val="21"/>
                <w:lang w:bidi="ar"/>
                <w14:textFill>
                  <w14:solidFill>
                    <w14:schemeClr w14:val="tx1"/>
                  </w14:solidFill>
                </w14:textFill>
              </w:rPr>
              <w:t>2.检测样本类型：骨髓/外周血</w:t>
            </w:r>
            <w:r>
              <w:rPr>
                <w:rFonts w:hint="default" w:ascii="Times New Roman" w:hAnsi="Times New Roman" w:eastAsia="宋体" w:cs="Times New Roman"/>
                <w:color w:val="000000" w:themeColor="text1"/>
                <w:kern w:val="0"/>
                <w:sz w:val="20"/>
                <w:szCs w:val="21"/>
                <w:lang w:bidi="ar"/>
                <w14:textFill>
                  <w14:solidFill>
                    <w14:schemeClr w14:val="tx1"/>
                  </w14:solidFill>
                </w14:textFill>
              </w:rPr>
              <w:br w:type="textWrapping"/>
            </w:r>
            <w:r>
              <w:rPr>
                <w:rFonts w:hint="default" w:ascii="Times New Roman" w:hAnsi="Times New Roman" w:eastAsia="宋体" w:cs="Times New Roman"/>
                <w:color w:val="000000" w:themeColor="text1"/>
                <w:kern w:val="0"/>
                <w:sz w:val="20"/>
                <w:szCs w:val="21"/>
                <w:lang w:bidi="ar"/>
                <w14:textFill>
                  <w14:solidFill>
                    <w14:schemeClr w14:val="tx1"/>
                  </w14:solidFill>
                </w14:textFill>
              </w:rPr>
              <w:t>3.方法学：</w:t>
            </w:r>
            <w:r>
              <w:rPr>
                <w:rFonts w:hint="default" w:ascii="Times New Roman" w:hAnsi="Times New Roman" w:eastAsia="宋体" w:cs="Times New Roman"/>
                <w:color w:val="000000" w:themeColor="text1"/>
                <w:kern w:val="0"/>
                <w:sz w:val="20"/>
                <w:szCs w:val="21"/>
                <w14:textFill>
                  <w14:solidFill>
                    <w14:schemeClr w14:val="tx1"/>
                  </w14:solidFill>
                </w14:textFill>
              </w:rPr>
              <w:t>荧光/数字PCR</w:t>
            </w:r>
            <w:r>
              <w:rPr>
                <w:rFonts w:hint="default" w:ascii="Times New Roman" w:hAnsi="Times New Roman" w:eastAsia="宋体" w:cs="Times New Roman"/>
                <w:color w:val="000000" w:themeColor="text1"/>
                <w:kern w:val="0"/>
                <w:sz w:val="20"/>
                <w:szCs w:val="21"/>
                <w:lang w:bidi="ar"/>
                <w14:textFill>
                  <w14:solidFill>
                    <w14:schemeClr w14:val="tx1"/>
                  </w14:solidFill>
                </w14:textFill>
              </w:rPr>
              <w:t>。</w:t>
            </w:r>
          </w:p>
          <w:p w14:paraId="575C921A">
            <w:pPr>
              <w:widowControl/>
              <w:jc w:val="left"/>
              <w:textAlignment w:val="center"/>
              <w:rPr>
                <w:rFonts w:hint="default" w:ascii="Times New Roman" w:hAnsi="Times New Roman" w:eastAsia="宋体" w:cs="Times New Roman"/>
                <w:color w:val="000000" w:themeColor="text1"/>
                <w:kern w:val="0"/>
                <w:sz w:val="20"/>
                <w:szCs w:val="21"/>
                <w:lang w:bidi="ar"/>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4.试剂须具备医疗器械注册证或备案凭证。</w:t>
            </w:r>
          </w:p>
          <w:p w14:paraId="155DC2EC">
            <w:pPr>
              <w:rPr>
                <w:rFonts w:hint="default" w:ascii="Times New Roman" w:hAnsi="Times New Roman" w:eastAsia="宋体" w:cs="Times New Roman"/>
                <w:color w:val="000000" w:themeColor="text1"/>
                <w:kern w:val="0"/>
                <w:sz w:val="20"/>
                <w:szCs w:val="24"/>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5.</w:t>
            </w:r>
            <w:r>
              <w:rPr>
                <w:rFonts w:hint="default" w:ascii="Times New Roman" w:hAnsi="Times New Roman" w:eastAsia="宋体" w:cs="Times New Roman"/>
                <w:color w:val="000000" w:themeColor="text1"/>
                <w:kern w:val="0"/>
                <w:sz w:val="20"/>
                <w:szCs w:val="24"/>
                <w14:textFill>
                  <w14:solidFill>
                    <w14:schemeClr w14:val="tx1"/>
                  </w14:solidFill>
                </w14:textFill>
              </w:rPr>
              <w:t xml:space="preserve"> 能本地检验，分析系统能部署在院内指定服务器。</w:t>
            </w:r>
          </w:p>
          <w:p w14:paraId="490B8930">
            <w:pPr>
              <w:rPr>
                <w:rFonts w:hint="default" w:ascii="Times New Roman" w:hAnsi="Times New Roman" w:eastAsia="宋体" w:cs="Times New Roman"/>
                <w:color w:val="000000" w:themeColor="text1"/>
                <w:kern w:val="0"/>
                <w:sz w:val="20"/>
                <w:szCs w:val="24"/>
                <w14:textFill>
                  <w14:solidFill>
                    <w14:schemeClr w14:val="tx1"/>
                  </w14:solidFill>
                </w14:textFill>
              </w:rPr>
            </w:pPr>
            <w:r>
              <w:rPr>
                <w:rFonts w:hint="default" w:ascii="Times New Roman" w:hAnsi="Times New Roman" w:eastAsia="宋体" w:cs="Times New Roman"/>
                <w:color w:val="000000" w:themeColor="text1"/>
                <w:kern w:val="0"/>
                <w:sz w:val="20"/>
                <w:szCs w:val="24"/>
                <w:lang w:bidi="ar"/>
                <w14:textFill>
                  <w14:solidFill>
                    <w14:schemeClr w14:val="tx1"/>
                  </w14:solidFill>
                </w14:textFill>
              </w:rPr>
              <w:t>6</w:t>
            </w:r>
            <w:r>
              <w:rPr>
                <w:rFonts w:hint="default" w:ascii="Times New Roman" w:hAnsi="Times New Roman" w:eastAsia="宋体" w:cs="Times New Roman"/>
                <w:color w:val="000000" w:themeColor="text1"/>
                <w:kern w:val="0"/>
                <w:sz w:val="20"/>
                <w:szCs w:val="21"/>
                <w:lang w:bidi="ar"/>
                <w14:textFill>
                  <w14:solidFill>
                    <w14:schemeClr w14:val="tx1"/>
                  </w14:solidFill>
                </w14:textFill>
              </w:rPr>
              <w:t>.</w:t>
            </w:r>
            <w:r>
              <w:rPr>
                <w:rFonts w:hint="default" w:ascii="Times New Roman" w:hAnsi="Times New Roman" w:eastAsia="宋体" w:cs="Times New Roman"/>
                <w:color w:val="000000" w:themeColor="text1"/>
                <w:kern w:val="0"/>
                <w:sz w:val="20"/>
                <w:szCs w:val="24"/>
                <w14:textFill>
                  <w14:solidFill>
                    <w14:schemeClr w14:val="tx1"/>
                  </w14:solidFill>
                </w14:textFill>
              </w:rPr>
              <w:t>需具备临床检测相关资质，若遇院内仪器故障，可协助提供检测服务。</w:t>
            </w:r>
          </w:p>
          <w:p w14:paraId="5A9ACBC8">
            <w:pPr>
              <w:rPr>
                <w:rFonts w:hint="default" w:ascii="Times New Roman" w:hAnsi="Times New Roman" w:eastAsia="宋体" w:cs="Times New Roman"/>
                <w:color w:val="000000" w:themeColor="text1"/>
                <w:kern w:val="0"/>
                <w:sz w:val="20"/>
                <w:szCs w:val="24"/>
                <w14:textFill>
                  <w14:solidFill>
                    <w14:schemeClr w14:val="tx1"/>
                  </w14:solidFill>
                </w14:textFill>
              </w:rPr>
            </w:pPr>
            <w:r>
              <w:rPr>
                <w:rFonts w:hint="default" w:ascii="Times New Roman" w:hAnsi="Times New Roman" w:eastAsia="宋体" w:cs="Times New Roman"/>
                <w:color w:val="000000" w:themeColor="text1"/>
                <w:kern w:val="0"/>
                <w:sz w:val="20"/>
                <w:szCs w:val="21"/>
                <w:lang w:bidi="ar"/>
                <w14:textFill>
                  <w14:solidFill>
                    <w14:schemeClr w14:val="tx1"/>
                  </w14:solidFill>
                </w14:textFill>
              </w:rPr>
              <w:t>7.</w:t>
            </w:r>
            <w:r>
              <w:rPr>
                <w:rFonts w:hint="default" w:ascii="Times New Roman" w:hAnsi="Times New Roman" w:eastAsia="宋体" w:cs="Times New Roman"/>
                <w:color w:val="000000" w:themeColor="text1"/>
                <w:kern w:val="0"/>
                <w:sz w:val="20"/>
                <w:szCs w:val="20"/>
                <w14:textFill>
                  <w14:solidFill>
                    <w14:schemeClr w14:val="tx1"/>
                  </w14:solidFill>
                </w14:textFill>
              </w:rPr>
              <w:t>对应</w:t>
            </w:r>
            <w:r>
              <w:rPr>
                <w:rFonts w:hint="default" w:ascii="Times New Roman" w:hAnsi="Times New Roman" w:eastAsia="宋体" w:cs="Times New Roman"/>
                <w:color w:val="000000" w:themeColor="text1"/>
                <w:kern w:val="0"/>
                <w:sz w:val="20"/>
                <w:szCs w:val="21"/>
                <w:lang w:bidi="ar"/>
                <w14:textFill>
                  <w14:solidFill>
                    <w14:schemeClr w14:val="tx1"/>
                  </w14:solidFill>
                </w14:textFill>
              </w:rPr>
              <w:t>试剂盒有效期不低于12个月。</w:t>
            </w:r>
          </w:p>
        </w:tc>
      </w:tr>
    </w:tbl>
    <w:p w14:paraId="2C8061EF">
      <w:pPr>
        <w:rPr>
          <w:rFonts w:hint="eastAsia" w:ascii="宋体" w:hAnsi="宋体" w:eastAsia="宋体" w:cs="宋体"/>
          <w:sz w:val="24"/>
          <w:szCs w:val="24"/>
        </w:rPr>
      </w:pPr>
      <w:r>
        <w:rPr>
          <w:rFonts w:hint="eastAsia" w:ascii="宋体" w:hAnsi="宋体" w:eastAsia="宋体" w:cs="宋体"/>
          <w:sz w:val="24"/>
          <w:szCs w:val="24"/>
        </w:rPr>
        <w:t>1</w:t>
      </w:r>
      <w:r>
        <w:rPr>
          <w:rFonts w:hint="eastAsia" w:ascii="宋体" w:hAnsi="宋体" w:eastAsia="宋体" w:cs="宋体"/>
          <w:sz w:val="24"/>
          <w:szCs w:val="24"/>
          <w:lang w:val="en-US" w:eastAsia="zh-CN"/>
        </w:rPr>
        <w:t>响应</w:t>
      </w:r>
      <w:r>
        <w:rPr>
          <w:rFonts w:hint="eastAsia" w:ascii="宋体" w:hAnsi="宋体" w:eastAsia="宋体" w:cs="宋体"/>
          <w:sz w:val="24"/>
          <w:szCs w:val="24"/>
        </w:rPr>
        <w:t>人须同时提供以下相关服务内容包括但不限于：检测试剂与耗材供应、院外招投标支持、协助合同签订、市场维护、项目结算、物流配送、收样服务、信息系统对接、报告发放及结果解读支持等；</w:t>
      </w:r>
    </w:p>
    <w:p w14:paraId="5439CA11">
      <w:pPr>
        <w:rPr>
          <w:rFonts w:hint="eastAsia" w:ascii="宋体" w:hAnsi="宋体" w:eastAsia="宋体" w:cs="宋体"/>
          <w:sz w:val="24"/>
          <w:szCs w:val="24"/>
        </w:rPr>
      </w:pPr>
      <w:r>
        <w:rPr>
          <w:rFonts w:hint="eastAsia" w:ascii="宋体" w:hAnsi="宋体" w:eastAsia="宋体" w:cs="宋体"/>
          <w:sz w:val="24"/>
          <w:szCs w:val="24"/>
        </w:rPr>
        <w:t>2具有专业的驻地临床服务团队, 须派驻不少于2名管理人员和4名院外临床推广员（推广人员须具备医学、检验或生物相关专业背景）；</w:t>
      </w:r>
    </w:p>
    <w:p w14:paraId="4809C983">
      <w:pPr>
        <w:rPr>
          <w:rFonts w:hint="eastAsia" w:ascii="宋体" w:hAnsi="宋体" w:eastAsia="宋体" w:cs="宋体"/>
          <w:sz w:val="24"/>
          <w:szCs w:val="24"/>
        </w:rPr>
      </w:pPr>
      <w:r>
        <w:rPr>
          <w:rFonts w:hint="eastAsia" w:ascii="宋体" w:hAnsi="宋体" w:eastAsia="宋体" w:cs="宋体"/>
          <w:sz w:val="24"/>
          <w:szCs w:val="24"/>
        </w:rPr>
        <w:t>3投标人有稳定可靠的冷链物流合作方，保证样本（尤其是血液和新鲜组织样本）运输（必须提供冷链物流公司资质及合作协议等证明材料复印件）。所有样本耗材的运送必须符合相关管理要求；</w:t>
      </w:r>
    </w:p>
    <w:p w14:paraId="3A84908A">
      <w:pPr>
        <w:rPr>
          <w:rFonts w:hint="eastAsia" w:ascii="微软雅黑" w:hAnsi="微软雅黑" w:eastAsia="宋体" w:cs="微软雅黑"/>
          <w:sz w:val="24"/>
          <w:szCs w:val="24"/>
          <w:lang w:eastAsia="zh-CN"/>
        </w:rPr>
      </w:pPr>
      <w:r>
        <w:rPr>
          <w:rFonts w:hint="eastAsia" w:ascii="宋体" w:hAnsi="宋体" w:eastAsia="宋体" w:cs="宋体"/>
          <w:sz w:val="24"/>
          <w:szCs w:val="24"/>
        </w:rPr>
        <w:t>4标准品、质控、样本复测、实验失误等试剂耗材的损耗均由中选人承担</w:t>
      </w:r>
      <w:r>
        <w:rPr>
          <w:rFonts w:hint="eastAsia" w:ascii="宋体" w:hAnsi="宋体" w:eastAsia="宋体" w:cs="宋体"/>
          <w:sz w:val="24"/>
          <w:szCs w:val="24"/>
          <w:lang w:eastAsia="zh-CN"/>
        </w:rPr>
        <w:t>。</w:t>
      </w:r>
      <w:bookmarkStart w:id="196" w:name="_GoBack"/>
      <w:bookmarkEnd w:id="196"/>
    </w:p>
    <w:p w14:paraId="2CA10412">
      <w:pPr>
        <w:spacing w:line="320" w:lineRule="exact"/>
        <w:ind w:left="479" w:leftChars="85" w:hanging="241" w:hangingChars="100"/>
        <w:jc w:val="left"/>
        <w:rPr>
          <w:rFonts w:hint="default" w:ascii="宋体" w:hAnsi="宋体" w:cs="宋体"/>
          <w:b/>
          <w:bCs/>
          <w:color w:val="auto"/>
          <w:sz w:val="24"/>
          <w:szCs w:val="24"/>
          <w:lang w:val="en-US" w:eastAsia="zh-CN"/>
        </w:rPr>
      </w:pPr>
    </w:p>
    <w:p w14:paraId="02093D0F">
      <w:pPr>
        <w:rPr>
          <w:rFonts w:hint="eastAsia" w:cs="Times New Roman"/>
          <w:color w:val="000000"/>
          <w:kern w:val="0"/>
          <w:sz w:val="24"/>
          <w:szCs w:val="24"/>
          <w:lang w:val="en-US" w:eastAsia="zh-CN" w:bidi="ar"/>
        </w:rPr>
      </w:pPr>
    </w:p>
    <w:p w14:paraId="5533BE98">
      <w:pPr>
        <w:pStyle w:val="22"/>
        <w:ind w:firstLine="480" w:firstLineChars="200"/>
        <w:rPr>
          <w:rFonts w:hint="default" w:ascii="微软雅黑" w:hAnsi="微软雅黑" w:eastAsia="微软雅黑" w:cs="微软雅黑"/>
          <w:kern w:val="2"/>
          <w:sz w:val="24"/>
          <w:szCs w:val="24"/>
          <w:lang w:val="en-US" w:eastAsia="zh-CN" w:bidi="ar-SA"/>
        </w:rPr>
      </w:pPr>
      <w:r>
        <w:rPr>
          <w:rFonts w:hint="eastAsia" w:ascii="微软雅黑" w:hAnsi="微软雅黑" w:eastAsia="微软雅黑" w:cs="微软雅黑"/>
          <w:kern w:val="2"/>
          <w:sz w:val="24"/>
          <w:szCs w:val="24"/>
          <w:lang w:val="en-US" w:eastAsia="zh-CN" w:bidi="ar-SA"/>
        </w:rPr>
        <w:t xml:space="preserve">注：供应商需携带产品样品、产品彩页、产品说明书、与我院规模相近或更大的三甲教学医院客户的合同或发票等资料。 </w:t>
      </w:r>
    </w:p>
    <w:p w14:paraId="17C09448">
      <w:pPr>
        <w:pStyle w:val="22"/>
        <w:ind w:firstLine="280" w:firstLineChars="0"/>
        <w:rPr>
          <w:rFonts w:hint="default"/>
          <w:color w:val="auto"/>
          <w:lang w:val="en-US" w:eastAsia="zh-CN"/>
        </w:rPr>
      </w:pPr>
    </w:p>
    <w:p w14:paraId="0EEA4C4E">
      <w:pPr>
        <w:spacing w:line="400" w:lineRule="exact"/>
        <w:outlineLvl w:val="1"/>
        <w:rPr>
          <w:rFonts w:hint="default" w:ascii="Times New Roman" w:hAnsi="Times New Roman" w:cs="Times New Roman"/>
          <w:b/>
          <w:color w:val="auto"/>
          <w:sz w:val="24"/>
        </w:rPr>
      </w:pPr>
      <w:bookmarkStart w:id="65" w:name="_Toc6540"/>
      <w:r>
        <w:rPr>
          <w:rFonts w:hint="default" w:ascii="Times New Roman" w:hAnsi="Times New Roman" w:cs="Times New Roman"/>
          <w:b/>
          <w:color w:val="auto"/>
          <w:sz w:val="24"/>
        </w:rPr>
        <w:t>二、</w:t>
      </w:r>
      <w:bookmarkEnd w:id="57"/>
      <w:bookmarkEnd w:id="58"/>
      <w:bookmarkEnd w:id="59"/>
      <w:bookmarkEnd w:id="60"/>
      <w:bookmarkEnd w:id="61"/>
      <w:r>
        <w:rPr>
          <w:rFonts w:hint="default" w:ascii="Times New Roman" w:hAnsi="Times New Roman" w:cs="Times New Roman"/>
          <w:b/>
          <w:color w:val="auto"/>
          <w:sz w:val="24"/>
        </w:rPr>
        <w:t>商务需求</w:t>
      </w:r>
      <w:bookmarkEnd w:id="62"/>
      <w:bookmarkEnd w:id="63"/>
      <w:bookmarkEnd w:id="65"/>
    </w:p>
    <w:p w14:paraId="4F2B54CA">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1、</w:t>
      </w:r>
      <w:r>
        <w:rPr>
          <w:rFonts w:hint="default" w:ascii="Times New Roman" w:hAnsi="Times New Roman" w:cs="Times New Roman"/>
          <w:b w:val="0"/>
          <w:bCs w:val="0"/>
          <w:color w:val="auto"/>
          <w:kern w:val="0"/>
          <w:sz w:val="24"/>
          <w:szCs w:val="24"/>
        </w:rPr>
        <w:t>交货期</w:t>
      </w:r>
    </w:p>
    <w:p w14:paraId="3B696DB8">
      <w:pPr>
        <w:pStyle w:val="168"/>
        <w:widowControl/>
        <w:spacing w:line="400" w:lineRule="exact"/>
        <w:ind w:firstLine="480" w:firstLineChars="200"/>
        <w:rPr>
          <w:rFonts w:hint="default" w:ascii="Times New Roman" w:hAnsi="Times New Roman" w:eastAsia="宋体" w:cs="Times New Roman"/>
          <w:b w:val="0"/>
          <w:bCs w:val="0"/>
          <w:color w:val="auto"/>
          <w:sz w:val="24"/>
          <w:szCs w:val="24"/>
        </w:rPr>
      </w:pPr>
      <w:r>
        <w:rPr>
          <w:rFonts w:hint="default" w:ascii="Times New Roman" w:hAnsi="Times New Roman" w:eastAsia="宋体" w:cs="Times New Roman"/>
          <w:b w:val="0"/>
          <w:bCs w:val="0"/>
          <w:color w:val="auto"/>
          <w:sz w:val="24"/>
          <w:szCs w:val="24"/>
          <w:lang w:val="en-US" w:eastAsia="zh-CN"/>
        </w:rPr>
        <w:t>成交供应商</w:t>
      </w:r>
      <w:r>
        <w:rPr>
          <w:rFonts w:hint="default" w:ascii="Times New Roman" w:hAnsi="Times New Roman" w:eastAsia="宋体" w:cs="Times New Roman"/>
          <w:b w:val="0"/>
          <w:bCs w:val="0"/>
          <w:color w:val="auto"/>
          <w:sz w:val="24"/>
          <w:szCs w:val="24"/>
        </w:rPr>
        <w:t>应在接到采购人通知后</w:t>
      </w:r>
      <w:r>
        <w:rPr>
          <w:rFonts w:hint="eastAsia" w:ascii="Times New Roman" w:hAnsi="Times New Roman" w:eastAsia="宋体" w:cs="Times New Roman"/>
          <w:b w:val="0"/>
          <w:bCs w:val="0"/>
          <w:color w:val="auto"/>
          <w:sz w:val="24"/>
          <w:szCs w:val="24"/>
          <w:lang w:eastAsia="zh-CN"/>
        </w:rPr>
        <w:t>的</w:t>
      </w:r>
      <w:r>
        <w:rPr>
          <w:rFonts w:hint="default" w:ascii="Times New Roman" w:hAnsi="Times New Roman" w:eastAsia="宋体" w:cs="Times New Roman"/>
          <w:b w:val="0"/>
          <w:bCs w:val="0"/>
          <w:color w:val="auto"/>
          <w:sz w:val="24"/>
          <w:szCs w:val="24"/>
        </w:rPr>
        <w:t xml:space="preserve">3-7天（根据医院要求） </w:t>
      </w:r>
    </w:p>
    <w:p w14:paraId="3A2AB0BE">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2、</w:t>
      </w:r>
      <w:r>
        <w:rPr>
          <w:rFonts w:hint="default" w:ascii="Times New Roman" w:hAnsi="Times New Roman" w:cs="Times New Roman"/>
          <w:b w:val="0"/>
          <w:bCs w:val="0"/>
          <w:color w:val="auto"/>
          <w:kern w:val="0"/>
          <w:sz w:val="24"/>
          <w:szCs w:val="24"/>
        </w:rPr>
        <w:t>交货地点</w:t>
      </w:r>
    </w:p>
    <w:p w14:paraId="39ABFA36">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66" w:name="_Toc7794"/>
      <w:bookmarkStart w:id="67" w:name="_Toc15650"/>
      <w:bookmarkStart w:id="68" w:name="_Toc4791"/>
      <w:bookmarkStart w:id="69" w:name="_Toc2072"/>
      <w:bookmarkStart w:id="70" w:name="_Toc31843"/>
      <w:bookmarkStart w:id="71" w:name="_Toc76373878"/>
      <w:bookmarkStart w:id="72" w:name="_Toc17524"/>
      <w:bookmarkStart w:id="73" w:name="_Toc24122"/>
      <w:bookmarkStart w:id="74" w:name="_Toc1768"/>
      <w:bookmarkStart w:id="75" w:name="_Toc17944"/>
      <w:bookmarkStart w:id="76" w:name="_Toc267320050"/>
      <w:r>
        <w:rPr>
          <w:rFonts w:hint="default" w:ascii="Times New Roman" w:hAnsi="Times New Roman" w:eastAsia="宋体" w:cs="Times New Roman"/>
          <w:b w:val="0"/>
          <w:bCs w:val="0"/>
          <w:color w:val="auto"/>
          <w:sz w:val="24"/>
          <w:szCs w:val="24"/>
          <w:lang w:eastAsia="zh-CN"/>
        </w:rPr>
        <w:t>重庆医科大学附属第二医院江南</w:t>
      </w:r>
      <w:r>
        <w:rPr>
          <w:rFonts w:hint="default" w:ascii="Times New Roman" w:hAnsi="Times New Roman" w:eastAsia="宋体" w:cs="Times New Roman"/>
          <w:b w:val="0"/>
          <w:bCs w:val="0"/>
          <w:color w:val="auto"/>
          <w:sz w:val="24"/>
          <w:szCs w:val="24"/>
        </w:rPr>
        <w:t>院区、渝中院区</w:t>
      </w:r>
      <w:r>
        <w:rPr>
          <w:rFonts w:hint="default" w:ascii="Times New Roman" w:hAnsi="Times New Roman" w:eastAsia="宋体" w:cs="Times New Roman"/>
          <w:b w:val="0"/>
          <w:bCs w:val="0"/>
          <w:color w:val="auto"/>
          <w:sz w:val="24"/>
          <w:szCs w:val="24"/>
          <w:lang w:val="en-US" w:eastAsia="zh-CN"/>
        </w:rPr>
        <w:t>或其他指定地点</w:t>
      </w:r>
      <w:r>
        <w:rPr>
          <w:rFonts w:hint="default" w:ascii="Times New Roman" w:hAnsi="Times New Roman" w:eastAsia="宋体" w:cs="Times New Roman"/>
          <w:b w:val="0"/>
          <w:bCs w:val="0"/>
          <w:color w:val="auto"/>
          <w:sz w:val="24"/>
          <w:szCs w:val="24"/>
          <w:lang w:eastAsia="zh-CN"/>
        </w:rPr>
        <w:t>。</w:t>
      </w:r>
    </w:p>
    <w:p w14:paraId="672FAB6F">
      <w:pPr>
        <w:spacing w:line="400" w:lineRule="exact"/>
        <w:ind w:firstLine="480" w:firstLineChars="200"/>
        <w:rPr>
          <w:rFonts w:hint="default" w:ascii="Times New Roman" w:hAnsi="Times New Roman" w:cs="Times New Roman"/>
          <w:b w:val="0"/>
          <w:bCs w:val="0"/>
          <w:color w:val="auto"/>
          <w:sz w:val="24"/>
        </w:rPr>
      </w:pPr>
      <w:r>
        <w:rPr>
          <w:rFonts w:hint="default" w:ascii="Times New Roman" w:hAnsi="Times New Roman" w:cs="Times New Roman"/>
          <w:b w:val="0"/>
          <w:bCs w:val="0"/>
          <w:color w:val="auto"/>
          <w:sz w:val="24"/>
          <w:lang w:val="en-US" w:eastAsia="zh-CN"/>
        </w:rPr>
        <w:t>3、</w:t>
      </w:r>
      <w:r>
        <w:rPr>
          <w:rFonts w:hint="default" w:ascii="Times New Roman" w:hAnsi="Times New Roman" w:cs="Times New Roman"/>
          <w:b w:val="0"/>
          <w:bCs w:val="0"/>
          <w:color w:val="auto"/>
          <w:sz w:val="24"/>
        </w:rPr>
        <w:t>报价要求</w:t>
      </w:r>
      <w:bookmarkEnd w:id="66"/>
      <w:bookmarkEnd w:id="67"/>
      <w:bookmarkEnd w:id="68"/>
      <w:bookmarkEnd w:id="69"/>
      <w:bookmarkEnd w:id="70"/>
      <w:bookmarkEnd w:id="71"/>
      <w:bookmarkEnd w:id="72"/>
      <w:bookmarkEnd w:id="73"/>
      <w:bookmarkEnd w:id="74"/>
      <w:bookmarkEnd w:id="75"/>
    </w:p>
    <w:p w14:paraId="7D5D3B0C">
      <w:pPr>
        <w:pStyle w:val="168"/>
        <w:widowControl/>
        <w:spacing w:line="400" w:lineRule="exact"/>
        <w:ind w:firstLine="480" w:firstLineChars="200"/>
        <w:rPr>
          <w:rFonts w:hint="default" w:ascii="Times New Roman" w:hAnsi="Times New Roman" w:eastAsia="宋体" w:cs="Times New Roman"/>
          <w:b w:val="0"/>
          <w:bCs w:val="0"/>
          <w:color w:val="auto"/>
          <w:sz w:val="24"/>
          <w:szCs w:val="24"/>
          <w:lang w:eastAsia="zh-CN"/>
        </w:rPr>
      </w:pPr>
      <w:bookmarkStart w:id="77" w:name="_Toc9339"/>
      <w:bookmarkStart w:id="78" w:name="_Toc22561"/>
      <w:bookmarkStart w:id="79" w:name="_Toc76373879"/>
      <w:bookmarkStart w:id="80" w:name="_Toc5959"/>
      <w:bookmarkStart w:id="81" w:name="_Toc14311"/>
      <w:bookmarkStart w:id="82" w:name="_Toc29836"/>
      <w:bookmarkStart w:id="83" w:name="_Toc30551"/>
      <w:bookmarkStart w:id="84" w:name="_Toc28942"/>
      <w:bookmarkStart w:id="85" w:name="_Toc13528"/>
      <w:bookmarkStart w:id="86" w:name="_Toc16908"/>
      <w:r>
        <w:rPr>
          <w:rFonts w:hint="default" w:ascii="Times New Roman" w:hAnsi="Times New Roman" w:eastAsia="宋体" w:cs="Times New Roman"/>
          <w:b w:val="0"/>
          <w:bCs w:val="0"/>
          <w:color w:val="auto"/>
          <w:sz w:val="24"/>
          <w:szCs w:val="24"/>
          <w:lang w:val="en-US" w:eastAsia="zh-CN"/>
        </w:rPr>
        <w:t>该项目可在投标现场进行二次报价。</w:t>
      </w:r>
      <w:r>
        <w:rPr>
          <w:rFonts w:hint="default" w:ascii="Times New Roman" w:hAnsi="Times New Roman" w:eastAsia="宋体" w:cs="Times New Roman"/>
          <w:b w:val="0"/>
          <w:bCs w:val="0"/>
          <w:color w:val="auto"/>
          <w:sz w:val="24"/>
          <w:szCs w:val="24"/>
          <w:lang w:eastAsia="zh-CN"/>
        </w:rPr>
        <w:t>该项目报价须为包干单价</w:t>
      </w:r>
      <w:r>
        <w:rPr>
          <w:rFonts w:hint="default" w:ascii="Times New Roman" w:hAnsi="Times New Roman" w:eastAsia="宋体" w:cs="Times New Roman"/>
          <w:b w:val="0"/>
          <w:bCs w:val="0"/>
          <w:color w:val="auto"/>
          <w:sz w:val="24"/>
          <w:szCs w:val="24"/>
          <w:lang w:val="en-US" w:eastAsia="zh-CN"/>
        </w:rPr>
        <w:t>报价</w:t>
      </w:r>
      <w:r>
        <w:rPr>
          <w:rFonts w:hint="default" w:ascii="Times New Roman" w:hAnsi="Times New Roman" w:eastAsia="宋体" w:cs="Times New Roman"/>
          <w:b w:val="0"/>
          <w:bCs w:val="0"/>
          <w:color w:val="auto"/>
          <w:sz w:val="24"/>
          <w:szCs w:val="24"/>
          <w:lang w:eastAsia="zh-CN"/>
        </w:rPr>
        <w:t>，包括完成货物、运输、验收及其他本项目所需的所有费用及各种应纳的税费。因成交供应商自身原因造成漏报、少报皆由其自行承担责任，采购人不再补偿。</w:t>
      </w:r>
    </w:p>
    <w:bookmarkEnd w:id="76"/>
    <w:bookmarkEnd w:id="77"/>
    <w:bookmarkEnd w:id="78"/>
    <w:bookmarkEnd w:id="79"/>
    <w:bookmarkEnd w:id="80"/>
    <w:bookmarkEnd w:id="81"/>
    <w:bookmarkEnd w:id="82"/>
    <w:bookmarkEnd w:id="83"/>
    <w:p w14:paraId="60F33EE1">
      <w:pPr>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sz w:val="24"/>
          <w:lang w:val="en-US" w:eastAsia="zh-CN"/>
        </w:rPr>
        <w:t>4、</w:t>
      </w:r>
      <w:r>
        <w:rPr>
          <w:rFonts w:hint="default" w:ascii="Times New Roman" w:hAnsi="Times New Roman" w:cs="Times New Roman"/>
          <w:b w:val="0"/>
          <w:bCs w:val="0"/>
          <w:color w:val="auto"/>
          <w:kern w:val="0"/>
          <w:sz w:val="24"/>
          <w:szCs w:val="24"/>
        </w:rPr>
        <w:t>产品质量保证期</w:t>
      </w:r>
      <w:bookmarkEnd w:id="84"/>
      <w:bookmarkEnd w:id="85"/>
      <w:bookmarkEnd w:id="86"/>
    </w:p>
    <w:p w14:paraId="108B3EA6">
      <w:pPr>
        <w:pStyle w:val="168"/>
        <w:widowControl/>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eastAsia="宋体" w:cs="Times New Roman"/>
          <w:b w:val="0"/>
          <w:bCs w:val="0"/>
          <w:color w:val="auto"/>
          <w:sz w:val="24"/>
          <w:szCs w:val="24"/>
          <w:lang w:val="en-US" w:eastAsia="zh-CN"/>
        </w:rPr>
        <w:t>成交供应商出现一年内一次及以上不能按需供货的情况或质量问题时，取消该产品的供货资格。售后及时，24小时到现场提供解决方案。</w:t>
      </w:r>
    </w:p>
    <w:p w14:paraId="24121B82">
      <w:pPr>
        <w:snapToGrid w:val="0"/>
        <w:spacing w:line="400" w:lineRule="exact"/>
        <w:ind w:firstLine="480" w:firstLineChars="200"/>
        <w:rPr>
          <w:rFonts w:hint="default" w:ascii="Times New Roman" w:hAnsi="Times New Roman" w:cs="Times New Roman"/>
          <w:b w:val="0"/>
          <w:bCs w:val="0"/>
          <w:color w:val="auto"/>
          <w:kern w:val="0"/>
          <w:sz w:val="24"/>
          <w:szCs w:val="24"/>
        </w:rPr>
      </w:pPr>
      <w:r>
        <w:rPr>
          <w:rFonts w:hint="default" w:ascii="Times New Roman" w:hAnsi="Times New Roman" w:cs="Times New Roman"/>
          <w:b w:val="0"/>
          <w:bCs w:val="0"/>
          <w:color w:val="auto"/>
          <w:kern w:val="0"/>
          <w:sz w:val="24"/>
          <w:szCs w:val="24"/>
          <w:lang w:val="en-US" w:eastAsia="zh-CN"/>
        </w:rPr>
        <w:t>5、</w:t>
      </w:r>
      <w:r>
        <w:rPr>
          <w:rFonts w:hint="default" w:ascii="Times New Roman" w:hAnsi="Times New Roman" w:cs="Times New Roman"/>
          <w:b w:val="0"/>
          <w:bCs w:val="0"/>
          <w:color w:val="auto"/>
          <w:kern w:val="0"/>
          <w:sz w:val="24"/>
          <w:szCs w:val="24"/>
        </w:rPr>
        <w:t>验收</w:t>
      </w:r>
    </w:p>
    <w:p w14:paraId="7800116C">
      <w:pPr>
        <w:pStyle w:val="168"/>
        <w:widowControl/>
        <w:spacing w:line="400" w:lineRule="exact"/>
        <w:ind w:firstLine="480" w:firstLineChars="200"/>
        <w:rPr>
          <w:rFonts w:hint="eastAsia" w:ascii="Times New Roman" w:hAnsi="Times New Roman" w:eastAsia="宋体" w:cs="Times New Roman"/>
          <w:b w:val="0"/>
          <w:bCs w:val="0"/>
          <w:color w:val="auto"/>
          <w:sz w:val="24"/>
          <w:szCs w:val="24"/>
          <w:lang w:val="en-US" w:eastAsia="zh-CN"/>
        </w:rPr>
      </w:pPr>
      <w:r>
        <w:rPr>
          <w:rFonts w:hint="eastAsia" w:ascii="Times New Roman" w:hAnsi="Times New Roman" w:eastAsia="宋体" w:cs="Times New Roman"/>
          <w:b w:val="0"/>
          <w:bCs w:val="0"/>
          <w:color w:val="auto"/>
          <w:sz w:val="24"/>
          <w:szCs w:val="24"/>
          <w:lang w:val="en-US" w:eastAsia="zh-CN"/>
        </w:rPr>
        <w:t>由医院库管人员、使用科室及供货商现场核对物品的名称、规格型号、品牌、数量等信息后，签字或HRP系统上确认收货。</w:t>
      </w:r>
    </w:p>
    <w:p w14:paraId="68E0C06B">
      <w:pPr>
        <w:snapToGrid w:val="0"/>
        <w:spacing w:line="400" w:lineRule="exact"/>
        <w:jc w:val="center"/>
        <w:outlineLvl w:val="0"/>
        <w:rPr>
          <w:rFonts w:hint="eastAsia" w:ascii="宋体" w:hAnsi="宋体" w:cs="宋体"/>
          <w:b/>
          <w:color w:val="auto"/>
          <w:szCs w:val="36"/>
        </w:rPr>
      </w:pPr>
      <w:r>
        <w:rPr>
          <w:rFonts w:hint="eastAsia" w:ascii="宋体" w:hAnsi="宋体" w:cs="宋体"/>
          <w:color w:val="auto"/>
        </w:rPr>
        <w:br w:type="page"/>
      </w:r>
      <w:bookmarkStart w:id="87" w:name="_Toc76373885"/>
      <w:bookmarkStart w:id="88" w:name="_Toc2258"/>
      <w:bookmarkStart w:id="89" w:name="_Toc20772"/>
      <w:bookmarkStart w:id="90" w:name="_Toc12384"/>
      <w:bookmarkStart w:id="91" w:name="_Toc27893"/>
      <w:bookmarkStart w:id="92" w:name="_Toc20263"/>
      <w:bookmarkStart w:id="93" w:name="_Toc27737"/>
      <w:r>
        <w:rPr>
          <w:rFonts w:hint="eastAsia" w:ascii="宋体" w:hAnsi="宋体" w:cs="宋体"/>
          <w:b/>
          <w:color w:val="auto"/>
          <w:szCs w:val="36"/>
        </w:rPr>
        <w:t>第三篇  资格审查及评价办法</w:t>
      </w:r>
      <w:bookmarkEnd w:id="87"/>
      <w:bookmarkEnd w:id="88"/>
      <w:bookmarkEnd w:id="89"/>
      <w:bookmarkEnd w:id="90"/>
      <w:bookmarkEnd w:id="91"/>
      <w:bookmarkEnd w:id="92"/>
      <w:bookmarkEnd w:id="93"/>
    </w:p>
    <w:p w14:paraId="5ADAFDA0">
      <w:pPr>
        <w:spacing w:line="400" w:lineRule="exact"/>
        <w:rPr>
          <w:rFonts w:hint="eastAsia" w:cs="宋体"/>
          <w:b/>
          <w:color w:val="auto"/>
          <w:sz w:val="24"/>
        </w:rPr>
      </w:pPr>
      <w:bookmarkStart w:id="94" w:name="_Toc7115"/>
      <w:bookmarkStart w:id="95" w:name="_Toc23699"/>
      <w:bookmarkStart w:id="96" w:name="_Toc28189"/>
      <w:bookmarkStart w:id="97" w:name="_Toc12712"/>
      <w:bookmarkStart w:id="98" w:name="_Toc76373886"/>
      <w:bookmarkStart w:id="99" w:name="_Toc11052"/>
    </w:p>
    <w:p w14:paraId="619E6A6D">
      <w:pPr>
        <w:spacing w:line="400" w:lineRule="exact"/>
        <w:outlineLvl w:val="1"/>
        <w:rPr>
          <w:rFonts w:hint="eastAsia" w:cs="宋体"/>
          <w:b/>
          <w:color w:val="auto"/>
          <w:sz w:val="24"/>
        </w:rPr>
      </w:pPr>
      <w:bookmarkStart w:id="100" w:name="_Toc4818"/>
      <w:r>
        <w:rPr>
          <w:rFonts w:hint="eastAsia" w:cs="宋体"/>
          <w:b/>
          <w:color w:val="auto"/>
          <w:sz w:val="24"/>
        </w:rPr>
        <w:t>一、资格审查及符合性审查</w:t>
      </w:r>
      <w:bookmarkEnd w:id="94"/>
      <w:bookmarkEnd w:id="95"/>
      <w:bookmarkEnd w:id="96"/>
      <w:bookmarkEnd w:id="97"/>
      <w:bookmarkEnd w:id="98"/>
      <w:bookmarkEnd w:id="99"/>
      <w:bookmarkEnd w:id="100"/>
    </w:p>
    <w:p w14:paraId="72387A71">
      <w:pPr>
        <w:snapToGrid w:val="0"/>
        <w:spacing w:line="400" w:lineRule="exact"/>
        <w:ind w:firstLine="480" w:firstLineChars="200"/>
        <w:rPr>
          <w:rFonts w:hint="eastAsia" w:ascii="宋体" w:hAnsi="宋体" w:cs="宋体"/>
          <w:color w:val="auto"/>
          <w:kern w:val="0"/>
          <w:sz w:val="24"/>
          <w:szCs w:val="24"/>
        </w:rPr>
      </w:pPr>
      <w:r>
        <w:rPr>
          <w:rFonts w:hint="eastAsia" w:ascii="宋体" w:hAnsi="宋体" w:cs="宋体"/>
          <w:color w:val="auto"/>
          <w:kern w:val="0"/>
          <w:sz w:val="24"/>
          <w:szCs w:val="24"/>
        </w:rPr>
        <w:t>根据采购邀请文件中的竞选人资格要求对竞选进行资格审查，若未通过资格审查的采购文件，竞选人不得继续参与后续采购活动，竞选文件不得进入评审环节。</w:t>
      </w:r>
    </w:p>
    <w:p w14:paraId="2D7857D0">
      <w:pPr>
        <w:pStyle w:val="22"/>
        <w:rPr>
          <w:rFonts w:hint="eastAsia"/>
        </w:rPr>
      </w:pPr>
    </w:p>
    <w:p w14:paraId="4D7FB686">
      <w:pPr>
        <w:spacing w:line="400" w:lineRule="exact"/>
        <w:outlineLvl w:val="1"/>
        <w:rPr>
          <w:rFonts w:hint="eastAsia" w:cs="宋体"/>
          <w:b/>
          <w:color w:val="auto"/>
          <w:sz w:val="24"/>
        </w:rPr>
      </w:pPr>
      <w:bookmarkStart w:id="101" w:name="_Toc19809"/>
      <w:bookmarkStart w:id="102" w:name="_Toc13585"/>
      <w:bookmarkStart w:id="103" w:name="_Toc76373887"/>
      <w:bookmarkStart w:id="104" w:name="_Toc9147"/>
      <w:bookmarkStart w:id="105" w:name="_Toc26754"/>
      <w:bookmarkStart w:id="106" w:name="_Toc31293"/>
      <w:bookmarkStart w:id="107" w:name="_Toc5535"/>
      <w:r>
        <w:rPr>
          <w:rFonts w:hint="eastAsia" w:cs="宋体"/>
          <w:b/>
          <w:color w:val="auto"/>
          <w:sz w:val="24"/>
        </w:rPr>
        <w:t>二、</w:t>
      </w:r>
      <w:r>
        <w:rPr>
          <w:rFonts w:hint="eastAsia" w:cs="宋体"/>
          <w:b/>
          <w:color w:val="auto"/>
          <w:sz w:val="24"/>
          <w:lang w:val="en-US" w:eastAsia="zh-CN"/>
        </w:rPr>
        <w:t>遴选</w:t>
      </w:r>
      <w:r>
        <w:rPr>
          <w:rFonts w:hint="eastAsia" w:cs="宋体"/>
          <w:b/>
          <w:color w:val="auto"/>
          <w:sz w:val="24"/>
        </w:rPr>
        <w:t>方法</w:t>
      </w:r>
      <w:bookmarkEnd w:id="101"/>
      <w:bookmarkEnd w:id="102"/>
      <w:bookmarkEnd w:id="103"/>
      <w:bookmarkEnd w:id="104"/>
      <w:bookmarkEnd w:id="105"/>
      <w:bookmarkEnd w:id="106"/>
      <w:bookmarkEnd w:id="107"/>
    </w:p>
    <w:p w14:paraId="48C0442D">
      <w:pPr>
        <w:snapToGrid w:val="0"/>
        <w:spacing w:line="400" w:lineRule="exact"/>
        <w:ind w:firstLine="480" w:firstLineChars="200"/>
        <w:rPr>
          <w:rFonts w:hint="eastAsia" w:ascii="宋体" w:hAnsi="宋体" w:eastAsia="宋体" w:cs="宋体"/>
          <w:color w:val="auto"/>
          <w:kern w:val="0"/>
          <w:sz w:val="24"/>
          <w:szCs w:val="24"/>
        </w:rPr>
      </w:pPr>
      <w:r>
        <w:rPr>
          <w:rFonts w:hint="eastAsia" w:ascii="宋体" w:hAnsi="宋体" w:eastAsia="宋体" w:cs="宋体"/>
          <w:color w:val="auto"/>
          <w:kern w:val="0"/>
          <w:sz w:val="24"/>
          <w:szCs w:val="24"/>
          <w:lang w:val="en-US" w:eastAsia="zh-CN"/>
        </w:rPr>
        <w:t>1</w:t>
      </w:r>
      <w:r>
        <w:rPr>
          <w:rFonts w:hint="eastAsia" w:ascii="宋体" w:hAnsi="宋体" w:cs="宋体"/>
          <w:color w:val="auto"/>
          <w:kern w:val="0"/>
          <w:sz w:val="24"/>
          <w:szCs w:val="24"/>
          <w:lang w:val="en-US" w:eastAsia="zh-CN"/>
        </w:rPr>
        <w:t>.</w:t>
      </w:r>
      <w:r>
        <w:rPr>
          <w:rFonts w:hint="eastAsia" w:ascii="宋体" w:hAnsi="宋体" w:eastAsia="宋体" w:cs="宋体"/>
          <w:color w:val="auto"/>
          <w:kern w:val="0"/>
          <w:sz w:val="24"/>
          <w:szCs w:val="24"/>
        </w:rPr>
        <w:t>按</w:t>
      </w:r>
      <w:r>
        <w:rPr>
          <w:rFonts w:hint="eastAsia" w:ascii="宋体" w:hAnsi="宋体" w:eastAsia="宋体" w:cs="宋体"/>
          <w:color w:val="auto"/>
          <w:kern w:val="0"/>
          <w:sz w:val="24"/>
          <w:szCs w:val="24"/>
          <w:lang w:eastAsia="zh-CN"/>
        </w:rPr>
        <w:t>遴选</w:t>
      </w:r>
      <w:r>
        <w:rPr>
          <w:rFonts w:hint="eastAsia" w:ascii="宋体" w:hAnsi="宋体" w:eastAsia="宋体" w:cs="宋体"/>
          <w:b w:val="0"/>
          <w:bCs w:val="0"/>
          <w:color w:val="auto"/>
          <w:kern w:val="0"/>
          <w:sz w:val="24"/>
          <w:szCs w:val="24"/>
        </w:rPr>
        <w:t>采购文件中规定</w:t>
      </w:r>
      <w:r>
        <w:rPr>
          <w:rFonts w:hint="eastAsia" w:ascii="宋体" w:hAnsi="宋体" w:eastAsia="宋体" w:cs="宋体"/>
          <w:b w:val="0"/>
          <w:bCs w:val="0"/>
          <w:color w:val="auto"/>
          <w:kern w:val="0"/>
          <w:sz w:val="24"/>
          <w:szCs w:val="24"/>
          <w:lang w:eastAsia="zh-CN"/>
        </w:rPr>
        <w:t>，</w:t>
      </w:r>
      <w:r>
        <w:rPr>
          <w:rFonts w:hint="eastAsia" w:ascii="宋体" w:hAnsi="宋体" w:eastAsia="宋体" w:cs="宋体"/>
          <w:b w:val="0"/>
          <w:bCs w:val="0"/>
          <w:color w:val="auto"/>
          <w:kern w:val="0"/>
          <w:sz w:val="24"/>
          <w:szCs w:val="24"/>
        </w:rPr>
        <w:t>对资格审查</w:t>
      </w:r>
      <w:r>
        <w:rPr>
          <w:rFonts w:hint="eastAsia" w:ascii="宋体" w:hAnsi="宋体" w:eastAsia="宋体" w:cs="宋体"/>
          <w:color w:val="auto"/>
          <w:kern w:val="0"/>
          <w:sz w:val="24"/>
          <w:szCs w:val="24"/>
        </w:rPr>
        <w:t>合格的响应文件进行技术评估。提供相同品牌产品且通过资格审查的不同</w:t>
      </w:r>
      <w:r>
        <w:rPr>
          <w:rFonts w:hint="eastAsia" w:ascii="宋体" w:hAnsi="宋体" w:eastAsia="宋体" w:cs="宋体"/>
          <w:color w:val="auto"/>
          <w:kern w:val="0"/>
          <w:sz w:val="24"/>
          <w:szCs w:val="24"/>
          <w:lang w:eastAsia="zh-CN"/>
        </w:rPr>
        <w:t>竞选</w:t>
      </w:r>
      <w:r>
        <w:rPr>
          <w:rFonts w:hint="eastAsia" w:ascii="宋体" w:hAnsi="宋体" w:eastAsia="宋体" w:cs="宋体"/>
          <w:color w:val="auto"/>
          <w:kern w:val="0"/>
          <w:sz w:val="24"/>
          <w:szCs w:val="24"/>
        </w:rPr>
        <w:t>人参加的，按一家</w:t>
      </w:r>
      <w:r>
        <w:rPr>
          <w:rFonts w:hint="eastAsia" w:ascii="宋体" w:hAnsi="宋体" w:eastAsia="宋体" w:cs="宋体"/>
          <w:color w:val="auto"/>
          <w:kern w:val="0"/>
          <w:sz w:val="24"/>
          <w:szCs w:val="24"/>
          <w:lang w:val="en-US" w:eastAsia="zh-CN"/>
        </w:rPr>
        <w:t>竞选</w:t>
      </w:r>
      <w:r>
        <w:rPr>
          <w:rFonts w:hint="eastAsia" w:ascii="宋体" w:hAnsi="宋体" w:eastAsia="宋体" w:cs="宋体"/>
          <w:color w:val="auto"/>
          <w:kern w:val="0"/>
          <w:sz w:val="24"/>
          <w:szCs w:val="24"/>
        </w:rPr>
        <w:t xml:space="preserve">人计算。 </w:t>
      </w:r>
    </w:p>
    <w:p w14:paraId="468E9F49">
      <w:pPr>
        <w:snapToGrid w:val="0"/>
        <w:spacing w:line="400" w:lineRule="exact"/>
        <w:ind w:firstLine="480" w:firstLineChars="200"/>
        <w:rPr>
          <w:rFonts w:hint="eastAsia" w:ascii="宋体" w:hAnsi="宋体" w:eastAsia="宋体" w:cs="宋体"/>
          <w:color w:val="auto"/>
          <w:kern w:val="0"/>
          <w:sz w:val="24"/>
          <w:szCs w:val="24"/>
          <w:lang w:eastAsia="zh-CN"/>
        </w:rPr>
      </w:pPr>
      <w:r>
        <w:rPr>
          <w:rFonts w:hint="eastAsia" w:ascii="宋体" w:hAnsi="宋体" w:eastAsia="宋体" w:cs="宋体"/>
          <w:color w:val="auto"/>
          <w:kern w:val="0"/>
          <w:sz w:val="24"/>
          <w:szCs w:val="24"/>
          <w:lang w:val="en-US" w:eastAsia="zh-CN"/>
        </w:rPr>
        <w:t>2</w:t>
      </w:r>
      <w:r>
        <w:rPr>
          <w:rFonts w:hint="eastAsia" w:ascii="宋体" w:hAnsi="宋体" w:cs="宋体"/>
          <w:color w:val="auto"/>
          <w:kern w:val="0"/>
          <w:sz w:val="24"/>
          <w:szCs w:val="24"/>
          <w:lang w:val="en-US" w:eastAsia="zh-CN"/>
        </w:rPr>
        <w:t>.根据不同档次或需求评选能够实现基本要求的供应商</w:t>
      </w:r>
      <w:r>
        <w:rPr>
          <w:rFonts w:hint="eastAsia" w:ascii="宋体" w:hAnsi="宋体" w:eastAsia="宋体" w:cs="宋体"/>
          <w:color w:val="auto"/>
          <w:kern w:val="0"/>
          <w:sz w:val="24"/>
          <w:szCs w:val="24"/>
        </w:rPr>
        <w:t>，</w:t>
      </w:r>
      <w:r>
        <w:rPr>
          <w:rFonts w:hint="eastAsia" w:ascii="宋体" w:hAnsi="宋体" w:cs="宋体"/>
          <w:color w:val="auto"/>
          <w:kern w:val="0"/>
          <w:sz w:val="24"/>
          <w:szCs w:val="24"/>
          <w:lang w:val="en-US" w:eastAsia="zh-CN"/>
        </w:rPr>
        <w:t>按</w:t>
      </w:r>
      <w:r>
        <w:rPr>
          <w:rFonts w:hint="eastAsia" w:ascii="宋体" w:hAnsi="宋体" w:eastAsia="宋体" w:cs="宋体"/>
          <w:color w:val="auto"/>
          <w:kern w:val="0"/>
          <w:sz w:val="24"/>
          <w:szCs w:val="24"/>
          <w:lang w:eastAsia="zh-CN"/>
        </w:rPr>
        <w:t>竞选报价</w:t>
      </w:r>
      <w:r>
        <w:rPr>
          <w:rFonts w:hint="eastAsia" w:ascii="宋体" w:hAnsi="宋体" w:eastAsia="宋体" w:cs="宋体"/>
          <w:color w:val="auto"/>
          <w:kern w:val="0"/>
          <w:sz w:val="24"/>
          <w:szCs w:val="24"/>
        </w:rPr>
        <w:t>由低到高的顺序，</w:t>
      </w:r>
      <w:r>
        <w:rPr>
          <w:rFonts w:hint="eastAsia" w:ascii="宋体" w:hAnsi="宋体" w:cs="宋体"/>
          <w:color w:val="auto"/>
          <w:kern w:val="0"/>
          <w:sz w:val="24"/>
          <w:szCs w:val="24"/>
          <w:lang w:val="en-US" w:eastAsia="zh-CN"/>
        </w:rPr>
        <w:t>遴选出拟中选供应商</w:t>
      </w:r>
      <w:r>
        <w:rPr>
          <w:rFonts w:hint="eastAsia" w:ascii="宋体" w:hAnsi="宋体" w:cs="宋体"/>
          <w:color w:val="auto"/>
          <w:kern w:val="0"/>
          <w:sz w:val="24"/>
          <w:szCs w:val="24"/>
          <w:lang w:eastAsia="zh-CN"/>
        </w:rPr>
        <w:t>。</w:t>
      </w:r>
    </w:p>
    <w:p w14:paraId="2853F9D2">
      <w:pPr>
        <w:snapToGrid w:val="0"/>
        <w:spacing w:line="400" w:lineRule="exact"/>
        <w:ind w:firstLine="480" w:firstLineChars="200"/>
        <w:rPr>
          <w:rFonts w:hint="eastAsia"/>
          <w:color w:val="auto"/>
          <w:sz w:val="24"/>
          <w:szCs w:val="16"/>
          <w:lang w:eastAsia="zh-CN"/>
        </w:rPr>
      </w:pPr>
      <w:r>
        <w:rPr>
          <w:rFonts w:hint="eastAsia" w:ascii="宋体" w:hAnsi="宋体" w:cs="宋体"/>
          <w:color w:val="auto"/>
          <w:kern w:val="0"/>
          <w:sz w:val="24"/>
          <w:szCs w:val="24"/>
          <w:lang w:val="en-US" w:eastAsia="zh-CN"/>
        </w:rPr>
        <w:t>3.若对投报产品性能不了解，则由需求部门进行性能验证后择优遴选出中选产品</w:t>
      </w:r>
      <w:r>
        <w:rPr>
          <w:rFonts w:hint="eastAsia" w:ascii="宋体" w:hAnsi="宋体" w:eastAsia="宋体" w:cs="宋体"/>
          <w:color w:val="auto"/>
          <w:kern w:val="0"/>
          <w:sz w:val="24"/>
          <w:szCs w:val="24"/>
        </w:rPr>
        <w:t>。</w:t>
      </w:r>
    </w:p>
    <w:p w14:paraId="007A3CC1">
      <w:pPr>
        <w:snapToGrid w:val="0"/>
        <w:spacing w:line="400" w:lineRule="exact"/>
        <w:ind w:firstLine="465"/>
        <w:rPr>
          <w:rFonts w:hint="eastAsia" w:ascii="宋体" w:hAnsi="宋体" w:cs="宋体"/>
          <w:color w:val="auto"/>
          <w:sz w:val="24"/>
          <w:szCs w:val="24"/>
        </w:rPr>
      </w:pPr>
      <w:r>
        <w:rPr>
          <w:rFonts w:hint="eastAsia" w:ascii="宋体" w:hAnsi="宋体" w:cs="宋体"/>
          <w:color w:val="auto"/>
          <w:sz w:val="24"/>
          <w:szCs w:val="24"/>
        </w:rPr>
        <w:t>说明：院内采购小组及评审专家认为竞选人的报价明显低于其他通过</w:t>
      </w:r>
      <w:r>
        <w:rPr>
          <w:rFonts w:hint="eastAsia" w:ascii="宋体" w:hAnsi="宋体" w:cs="宋体"/>
          <w:color w:val="auto"/>
          <w:sz w:val="24"/>
          <w:szCs w:val="24"/>
          <w:lang w:val="en-US" w:eastAsia="zh-CN"/>
        </w:rPr>
        <w:t>资格</w:t>
      </w:r>
      <w:r>
        <w:rPr>
          <w:rFonts w:hint="eastAsia" w:ascii="宋体" w:hAnsi="宋体" w:cs="宋体"/>
          <w:color w:val="auto"/>
          <w:sz w:val="24"/>
          <w:szCs w:val="24"/>
        </w:rPr>
        <w:t>审查竞选人的报价，有可能影响产品质量或者不能诚信履约的，应当要求其在竞选现场合理的时间内提供书面说明，必要时提交相关证明材料；竞选人不能证明其报价合理性的，根据《关于推动解决政府采购异常低价问题的通知》财库〔2026〕2号文件规定，院内采购小组及评审专家当将其作为无效竞选处理。</w:t>
      </w:r>
    </w:p>
    <w:p w14:paraId="22FB9E49">
      <w:pPr>
        <w:spacing w:line="400" w:lineRule="exact"/>
        <w:outlineLvl w:val="1"/>
        <w:rPr>
          <w:rFonts w:hint="eastAsia" w:cs="宋体"/>
          <w:b/>
          <w:color w:val="auto"/>
          <w:sz w:val="24"/>
        </w:rPr>
      </w:pPr>
      <w:bookmarkStart w:id="108" w:name="_Toc2900"/>
      <w:bookmarkStart w:id="109" w:name="_Toc8546"/>
      <w:bookmarkStart w:id="110" w:name="_Toc30068"/>
      <w:bookmarkStart w:id="111" w:name="_Toc76373889"/>
      <w:bookmarkStart w:id="112" w:name="_Toc16925"/>
      <w:bookmarkStart w:id="113" w:name="_Toc5251"/>
    </w:p>
    <w:p w14:paraId="007A6614">
      <w:pPr>
        <w:numPr>
          <w:ilvl w:val="0"/>
          <w:numId w:val="0"/>
        </w:numPr>
        <w:spacing w:line="400" w:lineRule="exact"/>
        <w:outlineLvl w:val="1"/>
        <w:rPr>
          <w:rFonts w:hint="eastAsia" w:cs="宋体"/>
          <w:b/>
          <w:color w:val="auto"/>
          <w:sz w:val="24"/>
        </w:rPr>
      </w:pPr>
      <w:bookmarkStart w:id="114" w:name="_Toc13294"/>
      <w:r>
        <w:rPr>
          <w:rFonts w:hint="eastAsia" w:cs="宋体"/>
          <w:b/>
          <w:color w:val="auto"/>
          <w:sz w:val="24"/>
          <w:lang w:eastAsia="zh-CN"/>
        </w:rPr>
        <w:t>三、</w:t>
      </w:r>
      <w:r>
        <w:rPr>
          <w:rFonts w:hint="eastAsia" w:cs="宋体"/>
          <w:b/>
          <w:color w:val="auto"/>
          <w:sz w:val="24"/>
        </w:rPr>
        <w:t>无效竞选条款</w:t>
      </w:r>
      <w:bookmarkEnd w:id="108"/>
      <w:bookmarkEnd w:id="109"/>
      <w:bookmarkEnd w:id="110"/>
      <w:bookmarkEnd w:id="111"/>
      <w:bookmarkEnd w:id="112"/>
      <w:bookmarkEnd w:id="113"/>
      <w:bookmarkEnd w:id="114"/>
    </w:p>
    <w:p w14:paraId="6D91F04D">
      <w:pPr>
        <w:snapToGrid w:val="0"/>
        <w:spacing w:line="400" w:lineRule="exact"/>
        <w:ind w:firstLine="480" w:firstLineChars="200"/>
        <w:rPr>
          <w:rFonts w:hint="eastAsia" w:ascii="宋体" w:hAnsi="宋体" w:eastAsia="宋体" w:cs="宋体"/>
          <w:color w:val="auto"/>
          <w:sz w:val="24"/>
          <w:szCs w:val="24"/>
        </w:rPr>
      </w:pPr>
      <w:bookmarkStart w:id="115" w:name="_Toc28228"/>
      <w:r>
        <w:rPr>
          <w:rFonts w:hint="eastAsia" w:ascii="宋体" w:hAnsi="宋体" w:eastAsia="宋体" w:cs="宋体"/>
          <w:color w:val="auto"/>
          <w:sz w:val="24"/>
          <w:szCs w:val="24"/>
        </w:rPr>
        <w:t>竞选人或其竞选文件出现下列情况之一者，经评审专家组讨论后，可</w:t>
      </w:r>
      <w:r>
        <w:rPr>
          <w:rFonts w:hint="eastAsia" w:ascii="宋体" w:hAnsi="宋体" w:cs="宋体"/>
          <w:color w:val="auto"/>
          <w:sz w:val="24"/>
          <w:szCs w:val="24"/>
          <w:lang w:val="en-US" w:eastAsia="zh-CN"/>
        </w:rPr>
        <w:t>认定为</w:t>
      </w:r>
      <w:r>
        <w:rPr>
          <w:rFonts w:hint="eastAsia" w:ascii="宋体" w:hAnsi="宋体" w:eastAsia="宋体" w:cs="宋体"/>
          <w:color w:val="auto"/>
          <w:sz w:val="24"/>
          <w:szCs w:val="24"/>
        </w:rPr>
        <w:t>无效竞选：</w:t>
      </w:r>
      <w:bookmarkEnd w:id="115"/>
    </w:p>
    <w:p w14:paraId="0754407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1、</w:t>
      </w:r>
      <w:r>
        <w:rPr>
          <w:rFonts w:hint="eastAsia" w:ascii="宋体" w:hAnsi="宋体" w:cs="宋体"/>
          <w:color w:val="auto"/>
          <w:sz w:val="24"/>
          <w:szCs w:val="24"/>
        </w:rPr>
        <w:t>未按照采购文件制作竞选文件，在技术与服务需求中提供的支撑材料不符的；</w:t>
      </w:r>
    </w:p>
    <w:p w14:paraId="6131F5F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2、</w:t>
      </w:r>
      <w:r>
        <w:rPr>
          <w:rFonts w:hint="eastAsia" w:ascii="宋体" w:hAnsi="宋体" w:cs="宋体"/>
          <w:color w:val="auto"/>
          <w:sz w:val="24"/>
          <w:szCs w:val="24"/>
        </w:rPr>
        <w:t>竞选文件未按采购文件要求签署、盖章的；</w:t>
      </w:r>
    </w:p>
    <w:p w14:paraId="2B575F0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3、</w:t>
      </w:r>
      <w:r>
        <w:rPr>
          <w:rFonts w:hint="eastAsia" w:ascii="宋体" w:hAnsi="宋体" w:cs="宋体"/>
          <w:color w:val="auto"/>
          <w:sz w:val="24"/>
          <w:szCs w:val="24"/>
        </w:rPr>
        <w:t>不具备采购文件中规定的资格要求的；</w:t>
      </w:r>
    </w:p>
    <w:p w14:paraId="71282F3E">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4、</w:t>
      </w:r>
      <w:r>
        <w:rPr>
          <w:rFonts w:hint="eastAsia" w:ascii="宋体" w:hAnsi="宋体" w:cs="宋体"/>
          <w:color w:val="auto"/>
          <w:sz w:val="24"/>
          <w:szCs w:val="24"/>
        </w:rPr>
        <w:t>竞选文件含有采购人不能接受的附加条件的；</w:t>
      </w:r>
    </w:p>
    <w:p w14:paraId="441BD14E">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5、</w:t>
      </w:r>
      <w:r>
        <w:rPr>
          <w:rFonts w:hint="eastAsia" w:ascii="宋体" w:hAnsi="宋体" w:cs="宋体"/>
          <w:color w:val="auto"/>
          <w:sz w:val="24"/>
          <w:szCs w:val="24"/>
        </w:rPr>
        <w:t>竞选人串通竞选的；</w:t>
      </w:r>
    </w:p>
    <w:p w14:paraId="3D4A30B9">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lang w:val="en-US" w:eastAsia="zh-CN"/>
        </w:rPr>
        <w:t>6、</w:t>
      </w:r>
      <w:r>
        <w:rPr>
          <w:rFonts w:hint="eastAsia" w:ascii="宋体" w:hAnsi="宋体" w:cs="宋体"/>
          <w:color w:val="auto"/>
          <w:sz w:val="24"/>
          <w:szCs w:val="24"/>
        </w:rPr>
        <w:t>法律、法规和采购文件规定的其他无效情形。</w:t>
      </w:r>
    </w:p>
    <w:p w14:paraId="09B3B751">
      <w:pPr>
        <w:spacing w:line="400" w:lineRule="exact"/>
        <w:outlineLvl w:val="1"/>
        <w:rPr>
          <w:rFonts w:hint="eastAsia" w:cs="宋体"/>
          <w:b/>
          <w:color w:val="auto"/>
          <w:sz w:val="24"/>
        </w:rPr>
      </w:pPr>
      <w:bookmarkStart w:id="116" w:name="_Toc27443"/>
      <w:bookmarkStart w:id="117" w:name="_Toc76373890"/>
      <w:bookmarkStart w:id="118" w:name="_Toc26071"/>
      <w:bookmarkStart w:id="119" w:name="_Toc20034"/>
      <w:bookmarkStart w:id="120" w:name="_Toc11654"/>
      <w:bookmarkStart w:id="121" w:name="_Toc11342"/>
      <w:r>
        <w:rPr>
          <w:rFonts w:hint="eastAsia" w:cs="宋体"/>
          <w:b/>
          <w:color w:val="auto"/>
          <w:sz w:val="24"/>
          <w:lang w:eastAsia="zh-CN"/>
        </w:rPr>
        <w:t>四、</w:t>
      </w:r>
      <w:r>
        <w:rPr>
          <w:rFonts w:hint="eastAsia" w:cs="宋体"/>
          <w:b/>
          <w:color w:val="auto"/>
          <w:sz w:val="24"/>
        </w:rPr>
        <w:t>废标条款</w:t>
      </w:r>
      <w:bookmarkEnd w:id="116"/>
      <w:bookmarkEnd w:id="117"/>
      <w:bookmarkEnd w:id="118"/>
      <w:bookmarkEnd w:id="119"/>
      <w:bookmarkEnd w:id="120"/>
      <w:bookmarkEnd w:id="121"/>
    </w:p>
    <w:p w14:paraId="1E87A5E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在采购中，出现下列情形之一的，具体分包项目应予作废处理：</w:t>
      </w:r>
    </w:p>
    <w:p w14:paraId="141906AC">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1、</w:t>
      </w:r>
      <w:r>
        <w:rPr>
          <w:rFonts w:hint="eastAsia" w:ascii="宋体" w:hAnsi="宋体" w:eastAsia="宋体" w:cs="宋体"/>
          <w:color w:val="auto"/>
          <w:sz w:val="24"/>
          <w:szCs w:val="24"/>
        </w:rPr>
        <w:t>符合专业条件的竞选人或者对采购文件作实质响应的竞选人不足三家的，经二次挂网并经</w:t>
      </w:r>
      <w:r>
        <w:rPr>
          <w:rFonts w:hint="eastAsia" w:ascii="宋体" w:hAnsi="宋体" w:eastAsia="宋体" w:cs="宋体"/>
          <w:color w:val="auto"/>
          <w:sz w:val="24"/>
          <w:szCs w:val="24"/>
          <w:lang w:val="en-US" w:eastAsia="zh-CN"/>
        </w:rPr>
        <w:t>核查满足需求或广泛邀请后</w:t>
      </w:r>
      <w:r>
        <w:rPr>
          <w:rFonts w:hint="eastAsia" w:ascii="宋体" w:hAnsi="宋体" w:eastAsia="宋体" w:cs="宋体"/>
          <w:color w:val="auto"/>
          <w:sz w:val="24"/>
          <w:szCs w:val="24"/>
        </w:rPr>
        <w:t>仍为两家的除外；</w:t>
      </w:r>
    </w:p>
    <w:p w14:paraId="2008A097">
      <w:pPr>
        <w:numPr>
          <w:ilvl w:val="0"/>
          <w:numId w:val="0"/>
        </w:num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2、</w:t>
      </w:r>
      <w:r>
        <w:rPr>
          <w:rFonts w:hint="eastAsia" w:ascii="宋体" w:hAnsi="宋体" w:eastAsia="宋体" w:cs="宋体"/>
          <w:color w:val="auto"/>
          <w:sz w:val="24"/>
          <w:szCs w:val="24"/>
        </w:rPr>
        <w:t>因情况变化，不再符合规定的公开</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采购方式适用情形的；</w:t>
      </w:r>
    </w:p>
    <w:p w14:paraId="5AF78AF9">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3、</w:t>
      </w:r>
      <w:r>
        <w:rPr>
          <w:rFonts w:hint="eastAsia" w:ascii="宋体" w:hAnsi="宋体" w:eastAsia="宋体" w:cs="宋体"/>
          <w:color w:val="auto"/>
          <w:sz w:val="24"/>
          <w:szCs w:val="24"/>
        </w:rPr>
        <w:t>出现影响采购公正的违法、违规行为的；</w:t>
      </w:r>
    </w:p>
    <w:p w14:paraId="3F825F45">
      <w:pPr>
        <w:snapToGrid w:val="0"/>
        <w:spacing w:line="400" w:lineRule="exact"/>
        <w:ind w:firstLine="480" w:firstLineChars="200"/>
        <w:rPr>
          <w:rFonts w:hint="eastAsia" w:ascii="宋体" w:hAnsi="宋体" w:eastAsia="宋体" w:cs="宋体"/>
          <w:color w:val="auto"/>
          <w:sz w:val="24"/>
          <w:szCs w:val="24"/>
        </w:rPr>
      </w:pPr>
      <w:r>
        <w:rPr>
          <w:rFonts w:hint="eastAsia" w:ascii="宋体" w:hAnsi="宋体" w:eastAsia="宋体" w:cs="宋体"/>
          <w:color w:val="auto"/>
          <w:sz w:val="24"/>
          <w:szCs w:val="24"/>
          <w:lang w:val="en-US" w:eastAsia="zh-CN"/>
        </w:rPr>
        <w:t>4、</w:t>
      </w:r>
      <w:r>
        <w:rPr>
          <w:rFonts w:hint="eastAsia" w:ascii="宋体" w:hAnsi="宋体" w:eastAsia="宋体" w:cs="宋体"/>
          <w:color w:val="auto"/>
          <w:sz w:val="24"/>
          <w:szCs w:val="24"/>
        </w:rPr>
        <w:t>因重大变故，采购任务取消的。</w:t>
      </w:r>
    </w:p>
    <w:p w14:paraId="728D8452">
      <w:pPr>
        <w:widowControl/>
        <w:spacing w:line="360" w:lineRule="auto"/>
        <w:jc w:val="center"/>
        <w:outlineLvl w:val="0"/>
        <w:rPr>
          <w:rFonts w:ascii="宋体" w:hAnsi="宋体" w:cs="宋体"/>
          <w:b/>
          <w:bCs/>
          <w:color w:val="auto"/>
          <w:kern w:val="36"/>
          <w:sz w:val="32"/>
          <w:szCs w:val="21"/>
        </w:rPr>
      </w:pPr>
      <w:r>
        <w:rPr>
          <w:rFonts w:hint="eastAsia" w:ascii="宋体" w:hAnsi="宋体" w:cs="宋体"/>
          <w:color w:val="auto"/>
        </w:rPr>
        <w:br w:type="page"/>
      </w:r>
      <w:bookmarkStart w:id="122" w:name="_Toc10547"/>
      <w:bookmarkStart w:id="123" w:name="_Toc25199"/>
      <w:bookmarkStart w:id="124" w:name="_Toc10864"/>
      <w:bookmarkStart w:id="125" w:name="_Toc76373891"/>
      <w:bookmarkStart w:id="126" w:name="_Toc20391"/>
      <w:bookmarkStart w:id="127" w:name="_Toc27646"/>
      <w:r>
        <w:rPr>
          <w:rFonts w:hint="eastAsia" w:ascii="宋体" w:hAnsi="宋体" w:cs="宋体"/>
          <w:b/>
          <w:color w:val="auto"/>
          <w:szCs w:val="36"/>
        </w:rPr>
        <w:t xml:space="preserve">第四篇  </w:t>
      </w:r>
      <w:bookmarkStart w:id="128" w:name="_Toc258354120"/>
      <w:bookmarkStart w:id="129" w:name="_Toc349642178"/>
      <w:r>
        <w:rPr>
          <w:rFonts w:hint="eastAsia" w:ascii="宋体" w:hAnsi="宋体" w:cs="宋体"/>
          <w:b/>
          <w:bCs/>
          <w:color w:val="auto"/>
          <w:kern w:val="36"/>
          <w:sz w:val="32"/>
          <w:szCs w:val="21"/>
        </w:rPr>
        <w:t>中选通知及合同</w:t>
      </w:r>
      <w:bookmarkEnd w:id="128"/>
      <w:bookmarkEnd w:id="129"/>
      <w:r>
        <w:rPr>
          <w:rFonts w:hint="eastAsia" w:ascii="宋体" w:hAnsi="宋体" w:cs="宋体"/>
          <w:b/>
          <w:bCs/>
          <w:color w:val="auto"/>
          <w:kern w:val="36"/>
          <w:sz w:val="32"/>
          <w:szCs w:val="21"/>
        </w:rPr>
        <w:t>签订</w:t>
      </w:r>
      <w:bookmarkEnd w:id="122"/>
    </w:p>
    <w:bookmarkEnd w:id="123"/>
    <w:bookmarkEnd w:id="124"/>
    <w:bookmarkEnd w:id="125"/>
    <w:bookmarkEnd w:id="126"/>
    <w:bookmarkEnd w:id="127"/>
    <w:p w14:paraId="27CBD8E7">
      <w:pPr>
        <w:snapToGrid w:val="0"/>
        <w:spacing w:line="400" w:lineRule="exact"/>
        <w:ind w:firstLine="470" w:firstLineChars="196"/>
        <w:jc w:val="left"/>
        <w:rPr>
          <w:rFonts w:hint="eastAsia" w:ascii="宋体" w:hAnsi="宋体" w:cs="宋体"/>
          <w:bCs/>
          <w:color w:val="auto"/>
          <w:sz w:val="24"/>
        </w:rPr>
      </w:pPr>
    </w:p>
    <w:p w14:paraId="31BBF5D2">
      <w:pPr>
        <w:snapToGrid w:val="0"/>
        <w:spacing w:line="400" w:lineRule="exact"/>
        <w:ind w:firstLine="482" w:firstLineChars="200"/>
        <w:outlineLvl w:val="1"/>
        <w:rPr>
          <w:rFonts w:hint="eastAsia" w:ascii="宋体" w:hAnsi="宋体" w:cs="宋体"/>
          <w:b/>
          <w:bCs/>
          <w:color w:val="auto"/>
          <w:sz w:val="24"/>
          <w:szCs w:val="24"/>
        </w:rPr>
      </w:pPr>
      <w:bookmarkStart w:id="130" w:name="_Toc27709"/>
      <w:r>
        <w:rPr>
          <w:rFonts w:hint="eastAsia" w:ascii="宋体" w:hAnsi="宋体" w:cs="宋体"/>
          <w:b/>
          <w:bCs/>
          <w:color w:val="auto"/>
          <w:sz w:val="24"/>
          <w:szCs w:val="24"/>
        </w:rPr>
        <w:t>一</w:t>
      </w:r>
      <w:r>
        <w:rPr>
          <w:rFonts w:hint="eastAsia" w:cs="宋体"/>
          <w:b/>
          <w:color w:val="auto"/>
          <w:sz w:val="24"/>
        </w:rPr>
        <w:t>、中选通知</w:t>
      </w:r>
      <w:bookmarkEnd w:id="130"/>
    </w:p>
    <w:p w14:paraId="7E31DE8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1.采购人通过官网发布中选公告，</w:t>
      </w:r>
      <w:r>
        <w:rPr>
          <w:rFonts w:hint="eastAsia" w:ascii="宋体" w:hAnsi="宋体" w:cs="宋体"/>
          <w:color w:val="auto"/>
          <w:sz w:val="24"/>
          <w:szCs w:val="24"/>
          <w:lang w:val="en-US" w:eastAsia="zh-CN"/>
        </w:rPr>
        <w:t>公告时间为两个工作日，</w:t>
      </w:r>
      <w:r>
        <w:rPr>
          <w:rFonts w:hint="eastAsia" w:ascii="宋体" w:hAnsi="宋体" w:cs="宋体"/>
          <w:color w:val="auto"/>
          <w:sz w:val="24"/>
          <w:szCs w:val="24"/>
        </w:rPr>
        <w:t>且不对未中选人作任何解释；</w:t>
      </w:r>
    </w:p>
    <w:p w14:paraId="7BB8540D">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2.中选人</w:t>
      </w:r>
      <w:r>
        <w:rPr>
          <w:rFonts w:hint="eastAsia" w:ascii="宋体" w:hAnsi="宋体" w:cs="宋体"/>
          <w:color w:val="auto"/>
          <w:sz w:val="24"/>
          <w:szCs w:val="24"/>
          <w:lang w:val="en-US" w:eastAsia="zh-CN"/>
        </w:rPr>
        <w:t>应</w:t>
      </w:r>
      <w:r>
        <w:rPr>
          <w:rFonts w:hint="eastAsia" w:ascii="宋体" w:hAnsi="宋体" w:cs="宋体"/>
          <w:color w:val="auto"/>
          <w:sz w:val="24"/>
          <w:szCs w:val="24"/>
        </w:rPr>
        <w:t>在中选公告结束后，</w:t>
      </w:r>
      <w:r>
        <w:rPr>
          <w:rFonts w:hint="eastAsia" w:ascii="宋体" w:hAnsi="宋体" w:cs="宋体"/>
          <w:color w:val="auto"/>
          <w:sz w:val="24"/>
          <w:szCs w:val="24"/>
          <w:lang w:val="en-US" w:eastAsia="zh-CN"/>
        </w:rPr>
        <w:t>两</w:t>
      </w:r>
      <w:r>
        <w:rPr>
          <w:rFonts w:hint="eastAsia" w:ascii="宋体" w:hAnsi="宋体" w:cs="宋体"/>
          <w:color w:val="auto"/>
          <w:sz w:val="24"/>
          <w:szCs w:val="24"/>
        </w:rPr>
        <w:t>个工作日内领取中选通知书。</w:t>
      </w:r>
    </w:p>
    <w:p w14:paraId="520728B4">
      <w:pPr>
        <w:snapToGrid w:val="0"/>
        <w:spacing w:line="400" w:lineRule="exact"/>
        <w:ind w:firstLine="482" w:firstLineChars="200"/>
        <w:outlineLvl w:val="1"/>
        <w:rPr>
          <w:rFonts w:hint="eastAsia" w:ascii="宋体" w:hAnsi="宋体" w:eastAsia="宋体" w:cs="宋体"/>
          <w:b/>
          <w:bCs/>
          <w:color w:val="auto"/>
          <w:sz w:val="24"/>
          <w:szCs w:val="24"/>
          <w:lang w:val="en-US" w:eastAsia="zh-CN"/>
        </w:rPr>
      </w:pPr>
      <w:bookmarkStart w:id="131" w:name="_Toc29342"/>
      <w:r>
        <w:rPr>
          <w:rFonts w:hint="eastAsia" w:ascii="宋体" w:hAnsi="宋体" w:cs="宋体"/>
          <w:b/>
          <w:bCs/>
          <w:color w:val="auto"/>
          <w:sz w:val="24"/>
          <w:szCs w:val="24"/>
        </w:rPr>
        <w:t>二、</w:t>
      </w:r>
      <w:bookmarkStart w:id="132" w:name="OLE_LINK3"/>
      <w:r>
        <w:rPr>
          <w:rFonts w:hint="eastAsia" w:ascii="宋体" w:hAnsi="宋体" w:cs="宋体"/>
          <w:b/>
          <w:bCs/>
          <w:color w:val="auto"/>
          <w:sz w:val="24"/>
          <w:szCs w:val="24"/>
        </w:rPr>
        <w:t>采购人有拒绝任何或所有竞选的</w:t>
      </w:r>
      <w:r>
        <w:rPr>
          <w:rFonts w:hint="eastAsia" w:ascii="宋体" w:hAnsi="宋体" w:eastAsia="宋体" w:cs="宋体"/>
          <w:b/>
          <w:bCs/>
          <w:color w:val="auto"/>
          <w:sz w:val="24"/>
          <w:szCs w:val="24"/>
        </w:rPr>
        <w:t>权力</w:t>
      </w:r>
      <w:bookmarkEnd w:id="131"/>
      <w:bookmarkEnd w:id="132"/>
    </w:p>
    <w:p w14:paraId="78DFBC6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1.在发布中选通知书发出前，采购人有权对竞选人资格、竞选文件、应答支撑材料等真实性进行现场复核，对竞选产品提出性能验证等要求，若竞选人拒绝，视作放弃本次竞选资格。</w:t>
      </w:r>
    </w:p>
    <w:p w14:paraId="51B1D837">
      <w:pPr>
        <w:widowControl/>
        <w:spacing w:line="400" w:lineRule="exact"/>
        <w:ind w:firstLine="480" w:firstLineChars="200"/>
        <w:rPr>
          <w:rFonts w:hint="eastAsia"/>
          <w:color w:val="auto"/>
        </w:rPr>
      </w:pPr>
      <w:r>
        <w:rPr>
          <w:rFonts w:hint="eastAsia" w:ascii="宋体" w:hAnsi="宋体" w:cs="宋体"/>
          <w:color w:val="auto"/>
          <w:sz w:val="24"/>
          <w:szCs w:val="24"/>
        </w:rPr>
        <w:t>2.在发布中选通知书发出前，采购人可以依据院内采购小组及评审专家的评价建议接受或拒绝任何竞选。</w:t>
      </w:r>
    </w:p>
    <w:p w14:paraId="7259A5A8">
      <w:pPr>
        <w:snapToGrid w:val="0"/>
        <w:spacing w:line="400" w:lineRule="exact"/>
        <w:ind w:firstLine="482" w:firstLineChars="200"/>
        <w:outlineLvl w:val="1"/>
        <w:rPr>
          <w:rFonts w:hint="eastAsia" w:ascii="宋体" w:hAnsi="宋体" w:cs="宋体"/>
          <w:b/>
          <w:bCs/>
          <w:color w:val="auto"/>
          <w:sz w:val="24"/>
          <w:szCs w:val="24"/>
        </w:rPr>
      </w:pPr>
      <w:bookmarkStart w:id="133" w:name="_Toc23535"/>
      <w:r>
        <w:rPr>
          <w:rFonts w:hint="eastAsia" w:ascii="宋体" w:hAnsi="宋体" w:cs="宋体"/>
          <w:b/>
          <w:bCs/>
          <w:color w:val="auto"/>
          <w:sz w:val="24"/>
          <w:szCs w:val="24"/>
        </w:rPr>
        <w:t>三、合同协议书的签订</w:t>
      </w:r>
      <w:bookmarkEnd w:id="133"/>
    </w:p>
    <w:p w14:paraId="30B8571A">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1.按照采购文件和中选人的竞选文件签订采购合同，中选公告结束5个工作日内中选人在医院医采平台完成CA签章认证服务，实行线上合同签订或根据医院安排提交纸质合同进行签订；</w:t>
      </w:r>
    </w:p>
    <w:p w14:paraId="6C0AA184">
      <w:pPr>
        <w:snapToGrid w:val="0"/>
        <w:spacing w:line="400" w:lineRule="exact"/>
        <w:ind w:firstLine="480" w:firstLineChars="200"/>
        <w:rPr>
          <w:rFonts w:hint="eastAsia"/>
          <w:color w:val="auto"/>
        </w:rPr>
      </w:pPr>
      <w:r>
        <w:rPr>
          <w:rFonts w:hint="eastAsia" w:ascii="宋体" w:hAnsi="宋体" w:cs="宋体"/>
          <w:color w:val="auto"/>
          <w:sz w:val="24"/>
          <w:szCs w:val="24"/>
        </w:rPr>
        <w:t>2.如采购人因中选人未按时递交合同或放弃中选资格而造成损失，中选人应予以赔偿，同时依法承担相应法律责任；</w:t>
      </w:r>
    </w:p>
    <w:p w14:paraId="24227203">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3.中选人应当按照合同约定履行义务，完成中选项目，不得将中选项目转让(转包)给他人。</w:t>
      </w:r>
    </w:p>
    <w:p w14:paraId="2F7F353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4.交货期限是指自</w:t>
      </w:r>
      <w:r>
        <w:rPr>
          <w:rFonts w:hint="eastAsia" w:ascii="宋体" w:hAnsi="宋体" w:cs="宋体"/>
          <w:color w:val="auto"/>
          <w:sz w:val="24"/>
          <w:szCs w:val="24"/>
          <w:lang w:eastAsia="zh-CN"/>
        </w:rPr>
        <w:t>合同签订完成</w:t>
      </w:r>
      <w:r>
        <w:rPr>
          <w:rFonts w:hint="eastAsia" w:ascii="宋体" w:hAnsi="宋体" w:cs="宋体"/>
          <w:color w:val="auto"/>
          <w:sz w:val="24"/>
          <w:szCs w:val="24"/>
        </w:rPr>
        <w:t>之日起，乙方按竞选现场承诺的时间，在甲方指定地点交付本合同约定的所有货品。</w:t>
      </w:r>
    </w:p>
    <w:p w14:paraId="02BC7FB0">
      <w:pPr>
        <w:snapToGrid w:val="0"/>
        <w:spacing w:line="400" w:lineRule="exact"/>
        <w:ind w:firstLine="480" w:firstLineChars="200"/>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lang w:val="en-US" w:eastAsia="zh-CN"/>
        </w:rPr>
        <w:t>5.</w:t>
      </w:r>
      <w:r>
        <w:rPr>
          <w:rFonts w:hint="eastAsia" w:ascii="宋体" w:hAnsi="宋体" w:eastAsia="宋体" w:cs="宋体"/>
          <w:color w:val="auto"/>
          <w:sz w:val="24"/>
          <w:szCs w:val="24"/>
        </w:rPr>
        <w:t>货款结算</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lang w:val="en-US" w:eastAsia="zh-CN"/>
        </w:rPr>
        <w:t>入库验收合格，提交发票后6个月安排付款。</w:t>
      </w:r>
    </w:p>
    <w:p w14:paraId="6CFB0CAF">
      <w:pPr>
        <w:snapToGrid w:val="0"/>
        <w:spacing w:line="400" w:lineRule="exact"/>
        <w:ind w:firstLine="480" w:firstLineChars="200"/>
        <w:rPr>
          <w:rFonts w:hint="default" w:eastAsia="仿宋_GB2312"/>
          <w:color w:val="auto"/>
          <w:lang w:val="en-US" w:eastAsia="zh-CN"/>
        </w:rPr>
      </w:pPr>
      <w:r>
        <w:rPr>
          <w:rFonts w:hint="eastAsia" w:ascii="宋体" w:hAnsi="宋体" w:eastAsia="宋体" w:cs="宋体"/>
          <w:color w:val="auto"/>
          <w:sz w:val="24"/>
          <w:szCs w:val="24"/>
          <w:lang w:val="en-US" w:eastAsia="zh-CN"/>
        </w:rPr>
        <w:t>6.耗材的国家医保编码发生变更，乙方需在生效日期之前告知甲方，否则因国家编码变更导致的违规扣款由乙方承担。</w:t>
      </w:r>
    </w:p>
    <w:p w14:paraId="1876EB7E">
      <w:pPr>
        <w:pStyle w:val="22"/>
        <w:rPr>
          <w:rFonts w:hint="eastAsia"/>
          <w:color w:val="auto"/>
        </w:rPr>
      </w:pPr>
    </w:p>
    <w:p w14:paraId="24623343">
      <w:pPr>
        <w:snapToGrid w:val="0"/>
        <w:spacing w:line="400" w:lineRule="exact"/>
        <w:ind w:firstLine="482" w:firstLineChars="200"/>
        <w:outlineLvl w:val="1"/>
        <w:rPr>
          <w:rFonts w:hint="eastAsia" w:ascii="宋体" w:hAnsi="宋体" w:cs="宋体"/>
          <w:b/>
          <w:bCs/>
          <w:color w:val="auto"/>
          <w:sz w:val="24"/>
          <w:szCs w:val="24"/>
        </w:rPr>
      </w:pPr>
      <w:bookmarkStart w:id="134" w:name="_Toc10698"/>
      <w:r>
        <w:rPr>
          <w:rFonts w:hint="eastAsia" w:ascii="宋体" w:hAnsi="宋体" w:cs="宋体"/>
          <w:b/>
          <w:bCs/>
          <w:color w:val="auto"/>
          <w:sz w:val="24"/>
          <w:szCs w:val="24"/>
        </w:rPr>
        <w:t>四、其它</w:t>
      </w:r>
      <w:bookmarkEnd w:id="134"/>
    </w:p>
    <w:p w14:paraId="746BA89F">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1.竞选时，所有解释均依据本采购文件及有关文件规定。</w:t>
      </w:r>
    </w:p>
    <w:p w14:paraId="0AE27F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2.本采购文件最终解释权归采购人。</w:t>
      </w:r>
    </w:p>
    <w:p w14:paraId="0DD45FC8">
      <w:pPr>
        <w:pStyle w:val="168"/>
        <w:spacing w:line="400" w:lineRule="exact"/>
        <w:ind w:firstLine="480" w:firstLineChars="200"/>
        <w:rPr>
          <w:rFonts w:hint="eastAsia" w:ascii="宋体" w:hAnsi="宋体" w:eastAsia="宋体" w:cs="宋体"/>
          <w:color w:val="auto"/>
          <w:sz w:val="24"/>
          <w:szCs w:val="24"/>
        </w:rPr>
      </w:pPr>
      <w:r>
        <w:rPr>
          <w:rFonts w:hint="eastAsia" w:ascii="宋体" w:hAnsi="宋体" w:cs="宋体"/>
          <w:color w:val="auto"/>
          <w:sz w:val="24"/>
          <w:szCs w:val="24"/>
        </w:rPr>
        <w:t>3.竞选后，无论中选与否，所有竞选文件采购人不予退还</w:t>
      </w:r>
      <w:r>
        <w:rPr>
          <w:rFonts w:hint="eastAsia" w:ascii="宋体" w:hAnsi="宋体" w:eastAsia="宋体" w:cs="宋体"/>
          <w:color w:val="auto"/>
          <w:sz w:val="24"/>
          <w:szCs w:val="24"/>
        </w:rPr>
        <w:t>。参与</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竞选人</w:t>
      </w:r>
      <w:r>
        <w:rPr>
          <w:rFonts w:hint="eastAsia" w:ascii="宋体" w:hAnsi="宋体" w:eastAsia="宋体" w:cs="宋体"/>
          <w:color w:val="auto"/>
          <w:sz w:val="24"/>
          <w:szCs w:val="24"/>
        </w:rPr>
        <w:t>应承担其编制响应文件与递交响应文件所涉及的一切费用，不论</w:t>
      </w:r>
      <w:r>
        <w:rPr>
          <w:rFonts w:hint="eastAsia" w:ascii="宋体" w:hAnsi="宋体" w:eastAsia="宋体" w:cs="宋体"/>
          <w:color w:val="auto"/>
          <w:sz w:val="24"/>
          <w:szCs w:val="24"/>
          <w:lang w:eastAsia="zh-CN"/>
        </w:rPr>
        <w:t>遴选</w:t>
      </w:r>
      <w:r>
        <w:rPr>
          <w:rFonts w:hint="eastAsia" w:ascii="宋体" w:hAnsi="宋体" w:eastAsia="宋体" w:cs="宋体"/>
          <w:color w:val="auto"/>
          <w:sz w:val="24"/>
          <w:szCs w:val="24"/>
        </w:rPr>
        <w:t>结果如何，采购人在任何情况下无义务也无责任承担这些费用。</w:t>
      </w:r>
    </w:p>
    <w:p w14:paraId="5502D82C">
      <w:pPr>
        <w:snapToGrid w:val="0"/>
        <w:spacing w:line="40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4.本采购文件未尽事宜可按现行的有关法律法规和规定参照执行。</w:t>
      </w:r>
    </w:p>
    <w:p w14:paraId="444548B2">
      <w:pPr>
        <w:spacing w:line="400" w:lineRule="exact"/>
        <w:rPr>
          <w:rFonts w:hint="eastAsia" w:ascii="宋体" w:hAnsi="宋体" w:cs="宋体"/>
          <w:b/>
          <w:color w:val="auto"/>
          <w:sz w:val="44"/>
        </w:rPr>
      </w:pPr>
      <w:bookmarkStart w:id="135" w:name="_Toc10152"/>
      <w:bookmarkStart w:id="136" w:name="_Toc19409"/>
      <w:bookmarkStart w:id="137" w:name="_Toc2975"/>
      <w:bookmarkStart w:id="138" w:name="_Toc24088"/>
      <w:bookmarkStart w:id="139" w:name="_Toc76373904"/>
      <w:bookmarkStart w:id="140" w:name="_Toc20762"/>
      <w:r>
        <w:rPr>
          <w:rFonts w:hint="eastAsia" w:ascii="宋体" w:hAnsi="宋体" w:cs="宋体"/>
          <w:b/>
          <w:color w:val="auto"/>
          <w:szCs w:val="36"/>
        </w:rPr>
        <w:br w:type="column"/>
      </w:r>
      <w:bookmarkEnd w:id="135"/>
      <w:bookmarkEnd w:id="136"/>
      <w:bookmarkEnd w:id="137"/>
      <w:bookmarkEnd w:id="138"/>
      <w:bookmarkEnd w:id="139"/>
      <w:bookmarkEnd w:id="140"/>
    </w:p>
    <w:p w14:paraId="36603897">
      <w:pPr>
        <w:tabs>
          <w:tab w:val="left" w:pos="3360"/>
        </w:tabs>
        <w:spacing w:line="360" w:lineRule="auto"/>
        <w:jc w:val="center"/>
        <w:outlineLvl w:val="0"/>
        <w:rPr>
          <w:rFonts w:hint="eastAsia" w:ascii="宋体" w:hAnsi="宋体" w:cs="宋体"/>
          <w:b/>
          <w:color w:val="auto"/>
          <w:sz w:val="32"/>
          <w:szCs w:val="40"/>
        </w:rPr>
      </w:pPr>
      <w:bookmarkStart w:id="141" w:name="_Toc76373907"/>
      <w:bookmarkStart w:id="142" w:name="_Toc11763"/>
      <w:bookmarkStart w:id="143" w:name="_Toc12863"/>
      <w:bookmarkStart w:id="144" w:name="_Toc7750"/>
      <w:bookmarkStart w:id="145" w:name="_Toc11892"/>
      <w:bookmarkStart w:id="146" w:name="_Toc16112"/>
      <w:bookmarkStart w:id="147" w:name="_Toc25920"/>
      <w:r>
        <w:rPr>
          <w:rFonts w:hint="eastAsia" w:ascii="宋体" w:hAnsi="宋体" w:cs="宋体"/>
          <w:b/>
          <w:color w:val="auto"/>
          <w:sz w:val="32"/>
          <w:szCs w:val="40"/>
        </w:rPr>
        <w:t>第五篇  采购文件格式</w:t>
      </w:r>
      <w:bookmarkEnd w:id="141"/>
      <w:bookmarkEnd w:id="142"/>
      <w:bookmarkEnd w:id="143"/>
      <w:bookmarkEnd w:id="144"/>
      <w:bookmarkEnd w:id="145"/>
      <w:bookmarkEnd w:id="146"/>
      <w:bookmarkEnd w:id="147"/>
    </w:p>
    <w:p w14:paraId="4E1E8451">
      <w:pPr>
        <w:spacing w:line="400" w:lineRule="exact"/>
        <w:ind w:firstLine="482" w:firstLineChars="200"/>
        <w:rPr>
          <w:rFonts w:hint="eastAsia" w:ascii="宋体" w:hAnsi="宋体" w:cs="宋体"/>
          <w:b/>
          <w:bCs/>
          <w:color w:val="auto"/>
          <w:sz w:val="24"/>
          <w:szCs w:val="24"/>
        </w:rPr>
      </w:pPr>
      <w:bookmarkStart w:id="148" w:name="_Toc6437"/>
      <w:r>
        <w:rPr>
          <w:rFonts w:hint="eastAsia" w:ascii="宋体" w:hAnsi="宋体" w:cs="宋体"/>
          <w:b/>
          <w:bCs/>
          <w:color w:val="auto"/>
          <w:sz w:val="24"/>
          <w:szCs w:val="24"/>
        </w:rPr>
        <w:t>一、竞选文件的份数和签署</w:t>
      </w:r>
    </w:p>
    <w:p w14:paraId="79959B77">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ascii="宋体" w:hAnsi="宋体" w:cs="宋体"/>
          <w:color w:val="auto"/>
          <w:sz w:val="24"/>
        </w:rPr>
      </w:pPr>
      <w:r>
        <w:rPr>
          <w:rFonts w:hint="eastAsia" w:ascii="宋体" w:hAnsi="宋体" w:cs="宋体"/>
          <w:color w:val="auto"/>
          <w:sz w:val="24"/>
        </w:rPr>
        <w:t>1.竞选文件须按照以下</w:t>
      </w:r>
      <w:r>
        <w:rPr>
          <w:rFonts w:hint="eastAsia" w:ascii="宋体" w:hAnsi="宋体" w:cs="宋体"/>
          <w:color w:val="auto"/>
          <w:sz w:val="24"/>
          <w:lang w:eastAsia="zh-CN"/>
        </w:rPr>
        <w:t>顺序</w:t>
      </w:r>
      <w:r>
        <w:rPr>
          <w:rFonts w:hint="eastAsia" w:ascii="宋体" w:hAnsi="宋体" w:cs="宋体"/>
          <w:color w:val="auto"/>
          <w:sz w:val="24"/>
        </w:rPr>
        <w:t>制作竞选文件。</w:t>
      </w:r>
    </w:p>
    <w:p w14:paraId="147558A2">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竞选文件正本一份，副本</w:t>
      </w:r>
      <w:r>
        <w:rPr>
          <w:rFonts w:hint="eastAsia" w:ascii="宋体" w:hAnsi="宋体" w:cs="宋体"/>
          <w:color w:val="auto"/>
          <w:sz w:val="24"/>
          <w:lang w:eastAsia="zh-CN"/>
        </w:rPr>
        <w:t>四</w:t>
      </w:r>
      <w:r>
        <w:rPr>
          <w:rFonts w:hint="eastAsia" w:ascii="宋体" w:hAnsi="宋体" w:cs="宋体"/>
          <w:color w:val="auto"/>
          <w:sz w:val="24"/>
        </w:rPr>
        <w:t>份，均为纸质件。每套竞选文件须在封面清楚地标明“正本”、“副本”，副本应为正本的完整复印件，副本与正本不一致时以正本为准。</w:t>
      </w:r>
    </w:p>
    <w:p w14:paraId="499841F4">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2.在竞选文件正本中，规定签署、盖章的地方必须按其规定签署、</w:t>
      </w:r>
      <w:r>
        <w:rPr>
          <w:rFonts w:hint="eastAsia" w:ascii="宋体" w:hAnsi="宋体" w:cs="宋体"/>
          <w:color w:val="auto"/>
          <w:sz w:val="24"/>
          <w:lang w:val="en-US" w:eastAsia="zh-CN"/>
        </w:rPr>
        <w:t>加盖鲜</w:t>
      </w:r>
      <w:r>
        <w:rPr>
          <w:rFonts w:hint="eastAsia" w:ascii="宋体" w:hAnsi="宋体" w:cs="宋体"/>
          <w:color w:val="auto"/>
          <w:sz w:val="24"/>
        </w:rPr>
        <w:t>章。</w:t>
      </w:r>
    </w:p>
    <w:p w14:paraId="635759EF">
      <w:pPr>
        <w:keepNext w:val="0"/>
        <w:keepLines w:val="0"/>
        <w:pageBreakBefore w:val="0"/>
        <w:widowControl w:val="0"/>
        <w:tabs>
          <w:tab w:val="left" w:pos="0"/>
        </w:tabs>
        <w:kinsoku/>
        <w:wordWrap/>
        <w:overflowPunct/>
        <w:topLinePunct w:val="0"/>
        <w:autoSpaceDE/>
        <w:autoSpaceDN/>
        <w:bidi w:val="0"/>
        <w:adjustRightInd/>
        <w:spacing w:line="460" w:lineRule="exact"/>
        <w:ind w:firstLine="480" w:firstLineChars="200"/>
        <w:textAlignment w:val="auto"/>
        <w:rPr>
          <w:rFonts w:hint="eastAsia" w:ascii="宋体" w:hAnsi="宋体" w:cs="宋体"/>
          <w:color w:val="auto"/>
          <w:sz w:val="24"/>
        </w:rPr>
      </w:pPr>
      <w:r>
        <w:rPr>
          <w:rFonts w:hint="eastAsia" w:ascii="宋体" w:hAnsi="宋体" w:cs="宋体"/>
          <w:color w:val="auto"/>
          <w:sz w:val="24"/>
        </w:rPr>
        <w:t>3.若竞选人对竞选文件的错处作必要修改，则应在修改处加盖竞选人公章或由</w:t>
      </w:r>
      <w:r>
        <w:rPr>
          <w:rFonts w:hint="eastAsia" w:ascii="宋体" w:hAnsi="宋体" w:cs="宋体"/>
          <w:color w:val="auto"/>
          <w:sz w:val="24"/>
          <w:szCs w:val="28"/>
        </w:rPr>
        <w:t>法定代表人（或其授权代表）或自然人（竞选人为自然人）</w:t>
      </w:r>
      <w:r>
        <w:rPr>
          <w:rFonts w:hint="eastAsia" w:ascii="宋体" w:hAnsi="宋体" w:cs="宋体"/>
          <w:color w:val="auto"/>
          <w:sz w:val="24"/>
        </w:rPr>
        <w:t>签署确认。</w:t>
      </w:r>
    </w:p>
    <w:p w14:paraId="7AD2FA90">
      <w:pPr>
        <w:keepNext w:val="0"/>
        <w:keepLines w:val="0"/>
        <w:pageBreakBefore w:val="0"/>
        <w:widowControl w:val="0"/>
        <w:kinsoku/>
        <w:wordWrap/>
        <w:overflowPunct/>
        <w:topLinePunct w:val="0"/>
        <w:autoSpaceDE/>
        <w:autoSpaceDN/>
        <w:bidi w:val="0"/>
        <w:adjustRightInd/>
        <w:snapToGrid w:val="0"/>
        <w:spacing w:line="460" w:lineRule="exact"/>
        <w:ind w:firstLine="470" w:firstLineChars="196"/>
        <w:jc w:val="left"/>
        <w:textAlignment w:val="auto"/>
        <w:rPr>
          <w:rFonts w:hint="eastAsia" w:ascii="宋体" w:hAnsi="宋体" w:cs="宋体"/>
          <w:bCs/>
          <w:color w:val="auto"/>
          <w:sz w:val="24"/>
        </w:rPr>
      </w:pPr>
      <w:r>
        <w:rPr>
          <w:rFonts w:hint="eastAsia" w:ascii="宋体" w:hAnsi="宋体" w:cs="宋体"/>
          <w:color w:val="auto"/>
          <w:sz w:val="24"/>
        </w:rPr>
        <w:t>4.竞选文件均为纸质件，其它形式的竞选文件概不接受。</w:t>
      </w:r>
    </w:p>
    <w:p w14:paraId="5CB8EA20">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ascii="宋体" w:hAnsi="宋体" w:cs="宋体"/>
          <w:b/>
          <w:bCs/>
          <w:color w:val="auto"/>
          <w:sz w:val="24"/>
          <w:szCs w:val="24"/>
        </w:rPr>
      </w:pPr>
      <w:r>
        <w:rPr>
          <w:rFonts w:hint="eastAsia" w:ascii="宋体" w:hAnsi="宋体" w:cs="宋体"/>
          <w:b/>
          <w:bCs/>
          <w:color w:val="auto"/>
          <w:sz w:val="24"/>
          <w:szCs w:val="24"/>
        </w:rPr>
        <w:t>二、封面格式</w:t>
      </w:r>
    </w:p>
    <w:p w14:paraId="5B6ABAD8">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r>
        <w:rPr>
          <w:rFonts w:hint="eastAsia" w:ascii="宋体" w:hAnsi="宋体" w:cs="宋体"/>
          <w:b/>
          <w:bCs/>
          <w:color w:val="auto"/>
          <w:sz w:val="24"/>
          <w:szCs w:val="24"/>
        </w:rPr>
        <w:t>三、经济文件</w:t>
      </w:r>
      <w:bookmarkEnd w:id="148"/>
      <w:r>
        <w:rPr>
          <w:rFonts w:hint="eastAsia" w:ascii="宋体" w:hAnsi="宋体" w:cs="宋体"/>
          <w:b/>
          <w:bCs/>
          <w:color w:val="auto"/>
          <w:sz w:val="24"/>
          <w:szCs w:val="24"/>
        </w:rPr>
        <w:t>格式</w:t>
      </w:r>
    </w:p>
    <w:p w14:paraId="4D69BEF8">
      <w:pPr>
        <w:keepNext w:val="0"/>
        <w:keepLines w:val="0"/>
        <w:pageBreakBefore w:val="0"/>
        <w:widowControl w:val="0"/>
        <w:numPr>
          <w:ilvl w:val="0"/>
          <w:numId w:val="0"/>
        </w:numPr>
        <w:tabs>
          <w:tab w:val="left" w:pos="6300"/>
        </w:tabs>
        <w:kinsoku/>
        <w:wordWrap/>
        <w:overflowPunct/>
        <w:topLinePunct w:val="0"/>
        <w:autoSpaceDE/>
        <w:autoSpaceDN/>
        <w:bidi w:val="0"/>
        <w:adjustRightInd/>
        <w:snapToGrid w:val="0"/>
        <w:spacing w:line="460" w:lineRule="exact"/>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一</w:t>
      </w:r>
      <w:r>
        <w:rPr>
          <w:rFonts w:hint="eastAsia" w:ascii="宋体" w:hAnsi="宋体" w:eastAsia="宋体" w:cs="宋体"/>
          <w:color w:val="auto"/>
          <w:kern w:val="2"/>
          <w:sz w:val="24"/>
          <w:szCs w:val="24"/>
          <w:lang w:val="en-US" w:eastAsia="zh-CN" w:bidi="ar-SA"/>
        </w:rPr>
        <w:t>）</w:t>
      </w:r>
      <w:r>
        <w:rPr>
          <w:rFonts w:hint="eastAsia" w:ascii="宋体" w:hAnsi="宋体" w:eastAsia="宋体" w:cs="宋体"/>
          <w:color w:val="auto"/>
          <w:sz w:val="24"/>
          <w:szCs w:val="24"/>
        </w:rPr>
        <w:t>开标现场最终报价表</w:t>
      </w:r>
    </w:p>
    <w:p w14:paraId="60CDE84A">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二</w:t>
      </w:r>
      <w:r>
        <w:rPr>
          <w:rFonts w:hint="eastAsia" w:ascii="宋体" w:hAnsi="宋体" w:eastAsia="宋体" w:cs="宋体"/>
          <w:color w:val="auto"/>
          <w:kern w:val="2"/>
          <w:sz w:val="24"/>
          <w:szCs w:val="24"/>
          <w:lang w:val="en-US" w:eastAsia="zh-CN" w:bidi="ar-SA"/>
        </w:rPr>
        <w:t>）专用设备报价表(</w:t>
      </w:r>
      <w:bookmarkStart w:id="149" w:name="OLE_LINK14"/>
      <w:r>
        <w:rPr>
          <w:rFonts w:hint="eastAsia" w:ascii="宋体" w:hAnsi="宋体" w:eastAsia="宋体" w:cs="宋体"/>
          <w:color w:val="auto"/>
          <w:kern w:val="2"/>
          <w:sz w:val="24"/>
          <w:szCs w:val="24"/>
          <w:lang w:val="en-US" w:eastAsia="zh-CN" w:bidi="ar-SA"/>
        </w:rPr>
        <w:t>如</w:t>
      </w:r>
      <w:bookmarkEnd w:id="149"/>
      <w:r>
        <w:rPr>
          <w:rFonts w:hint="eastAsia" w:ascii="宋体" w:hAnsi="宋体" w:eastAsia="宋体" w:cs="宋体"/>
          <w:color w:val="auto"/>
          <w:kern w:val="2"/>
          <w:sz w:val="24"/>
          <w:szCs w:val="24"/>
          <w:lang w:val="en-US" w:eastAsia="zh-CN" w:bidi="ar-SA"/>
        </w:rPr>
        <w:t>有)</w:t>
      </w:r>
    </w:p>
    <w:p w14:paraId="284FF42F">
      <w:pPr>
        <w:keepNext w:val="0"/>
        <w:keepLines w:val="0"/>
        <w:pageBreakBefore w:val="0"/>
        <w:widowControl w:val="0"/>
        <w:numPr>
          <w:ilvl w:val="0"/>
          <w:numId w:val="0"/>
        </w:numPr>
        <w:kinsoku/>
        <w:wordWrap/>
        <w:overflowPunct/>
        <w:topLinePunct w:val="0"/>
        <w:autoSpaceDE/>
        <w:autoSpaceDN/>
        <w:bidi w:val="0"/>
        <w:adjustRightInd/>
        <w:spacing w:line="460" w:lineRule="exact"/>
        <w:ind w:left="0" w:leftChars="0" w:firstLine="480" w:firstLineChars="200"/>
        <w:textAlignment w:val="auto"/>
        <w:rPr>
          <w:rFonts w:hint="eastAsia" w:ascii="宋体" w:hAnsi="宋体" w:eastAsia="宋体" w:cs="宋体"/>
          <w:color w:val="auto"/>
          <w:kern w:val="2"/>
          <w:sz w:val="24"/>
          <w:szCs w:val="24"/>
          <w:lang w:val="en-US" w:eastAsia="zh-CN" w:bidi="ar-SA"/>
        </w:rPr>
      </w:pPr>
      <w:bookmarkStart w:id="150" w:name="OLE_LINK13"/>
      <w:r>
        <w:rPr>
          <w:rFonts w:hint="eastAsia" w:ascii="宋体" w:hAnsi="宋体" w:eastAsia="宋体" w:cs="宋体"/>
          <w:color w:val="auto"/>
          <w:kern w:val="2"/>
          <w:sz w:val="24"/>
          <w:szCs w:val="24"/>
          <w:lang w:val="en-US" w:eastAsia="zh-CN" w:bidi="ar-SA"/>
        </w:rPr>
        <w:t>（</w:t>
      </w:r>
      <w:r>
        <w:rPr>
          <w:rFonts w:hint="eastAsia" w:ascii="宋体" w:hAnsi="宋体" w:cs="宋体"/>
          <w:color w:val="auto"/>
          <w:kern w:val="2"/>
          <w:sz w:val="24"/>
          <w:szCs w:val="24"/>
          <w:lang w:val="en-US" w:eastAsia="zh-CN" w:bidi="ar-SA"/>
        </w:rPr>
        <w:t>三</w:t>
      </w:r>
      <w:r>
        <w:rPr>
          <w:rFonts w:hint="eastAsia" w:ascii="宋体" w:hAnsi="宋体" w:eastAsia="宋体" w:cs="宋体"/>
          <w:color w:val="auto"/>
          <w:kern w:val="2"/>
          <w:sz w:val="24"/>
          <w:szCs w:val="24"/>
          <w:lang w:val="en-US" w:eastAsia="zh-CN" w:bidi="ar-SA"/>
        </w:rPr>
        <w:t>）耗材专用设备零配件报价表(如有)</w:t>
      </w:r>
      <w:bookmarkEnd w:id="150"/>
    </w:p>
    <w:p w14:paraId="55FCB164">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1" w:name="_Toc17664"/>
      <w:r>
        <w:rPr>
          <w:rFonts w:hint="eastAsia" w:ascii="宋体" w:hAnsi="宋体" w:cs="宋体"/>
          <w:b/>
          <w:bCs/>
          <w:color w:val="auto"/>
          <w:sz w:val="24"/>
          <w:szCs w:val="24"/>
        </w:rPr>
        <w:t>四、技术（质量）文件</w:t>
      </w:r>
      <w:bookmarkEnd w:id="151"/>
      <w:r>
        <w:rPr>
          <w:rFonts w:hint="eastAsia" w:ascii="宋体" w:hAnsi="宋体" w:cs="宋体"/>
          <w:b/>
          <w:bCs/>
          <w:color w:val="auto"/>
          <w:sz w:val="24"/>
          <w:szCs w:val="24"/>
        </w:rPr>
        <w:t>格式</w:t>
      </w:r>
    </w:p>
    <w:p w14:paraId="70DD90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（一）技术（质量）条款差异表</w:t>
      </w:r>
    </w:p>
    <w:p w14:paraId="74020DA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（二）其他技术（质量）资料</w:t>
      </w:r>
    </w:p>
    <w:p w14:paraId="10AEFE0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2" w:name="_Toc4012"/>
      <w:bookmarkStart w:id="153" w:name="_Toc24824"/>
      <w:r>
        <w:rPr>
          <w:rFonts w:hint="eastAsia" w:ascii="宋体" w:hAnsi="宋体" w:cs="宋体"/>
          <w:b/>
          <w:bCs/>
          <w:color w:val="auto"/>
          <w:sz w:val="24"/>
          <w:szCs w:val="24"/>
        </w:rPr>
        <w:t>五、</w:t>
      </w:r>
      <w:bookmarkEnd w:id="152"/>
      <w:r>
        <w:rPr>
          <w:rFonts w:hint="eastAsia" w:ascii="宋体" w:hAnsi="宋体" w:cs="宋体"/>
          <w:b/>
          <w:bCs/>
          <w:color w:val="auto"/>
          <w:sz w:val="24"/>
          <w:szCs w:val="24"/>
        </w:rPr>
        <w:t>商务文件</w:t>
      </w:r>
      <w:bookmarkEnd w:id="153"/>
      <w:r>
        <w:rPr>
          <w:rFonts w:hint="eastAsia" w:ascii="宋体" w:hAnsi="宋体" w:cs="宋体"/>
          <w:b/>
          <w:bCs/>
          <w:color w:val="auto"/>
          <w:sz w:val="24"/>
          <w:szCs w:val="24"/>
        </w:rPr>
        <w:t>格式</w:t>
      </w:r>
    </w:p>
    <w:p w14:paraId="095CCCDA">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（一）竞选函（格式）</w:t>
      </w:r>
    </w:p>
    <w:p w14:paraId="4B80D37B">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（二）商务条款差异表</w:t>
      </w:r>
    </w:p>
    <w:p w14:paraId="7FB05BD4">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w:t>
      </w:r>
      <w:r>
        <w:rPr>
          <w:rFonts w:hint="eastAsia" w:ascii="宋体" w:hAnsi="宋体" w:cs="宋体"/>
          <w:color w:val="auto"/>
          <w:sz w:val="24"/>
          <w:szCs w:val="28"/>
        </w:rPr>
        <w:t>其他商务资料</w:t>
      </w:r>
    </w:p>
    <w:p w14:paraId="7B6201DD">
      <w:pPr>
        <w:keepNext w:val="0"/>
        <w:keepLines w:val="0"/>
        <w:pageBreakBefore w:val="0"/>
        <w:widowControl w:val="0"/>
        <w:kinsoku/>
        <w:wordWrap/>
        <w:overflowPunct/>
        <w:topLinePunct w:val="0"/>
        <w:autoSpaceDE/>
        <w:autoSpaceDN/>
        <w:bidi w:val="0"/>
        <w:adjustRightInd/>
        <w:spacing w:line="460" w:lineRule="exact"/>
        <w:ind w:firstLine="482" w:firstLineChars="200"/>
        <w:textAlignment w:val="auto"/>
        <w:rPr>
          <w:rFonts w:hint="eastAsia" w:ascii="宋体" w:hAnsi="宋体" w:cs="宋体"/>
          <w:b/>
          <w:bCs/>
          <w:color w:val="auto"/>
          <w:sz w:val="24"/>
          <w:szCs w:val="24"/>
        </w:rPr>
      </w:pPr>
      <w:bookmarkStart w:id="154" w:name="_Toc6185"/>
      <w:r>
        <w:rPr>
          <w:rFonts w:hint="eastAsia" w:cs="宋体"/>
          <w:b/>
          <w:bCs/>
          <w:color w:val="auto"/>
          <w:sz w:val="24"/>
          <w:szCs w:val="24"/>
        </w:rPr>
        <w:t>六、</w:t>
      </w:r>
      <w:r>
        <w:rPr>
          <w:rFonts w:hint="eastAsia" w:ascii="宋体" w:hAnsi="宋体" w:cs="宋体"/>
          <w:b/>
          <w:bCs/>
          <w:color w:val="auto"/>
          <w:sz w:val="24"/>
          <w:szCs w:val="24"/>
        </w:rPr>
        <w:t>资格文件</w:t>
      </w:r>
      <w:bookmarkEnd w:id="154"/>
      <w:r>
        <w:rPr>
          <w:rFonts w:hint="eastAsia" w:ascii="宋体" w:hAnsi="宋体" w:cs="宋体"/>
          <w:b/>
          <w:bCs/>
          <w:color w:val="auto"/>
          <w:sz w:val="24"/>
          <w:szCs w:val="24"/>
        </w:rPr>
        <w:t>格式</w:t>
      </w:r>
    </w:p>
    <w:p w14:paraId="09815C99">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（一）法人营业执照（副本）或事业单位法人证书（副本）或个体工商户营业执照或有效的自然人身份证明或社会团体法人登记证书复印件</w:t>
      </w:r>
    </w:p>
    <w:p w14:paraId="5E8306B5">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（二）法定代表人身份证明书（格式）</w:t>
      </w:r>
    </w:p>
    <w:p w14:paraId="109ECC3F">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（三）法定代表人授权委托书（格式）</w:t>
      </w:r>
    </w:p>
    <w:p w14:paraId="4E518313">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（四）基本资格条件承诺函（格式）</w:t>
      </w:r>
    </w:p>
    <w:p w14:paraId="5A4ED641">
      <w:pPr>
        <w:keepNext w:val="0"/>
        <w:keepLines w:val="0"/>
        <w:pageBreakBefore w:val="0"/>
        <w:widowControl w:val="0"/>
        <w:kinsoku/>
        <w:wordWrap/>
        <w:overflowPunct/>
        <w:topLinePunct w:val="0"/>
        <w:autoSpaceDE/>
        <w:autoSpaceDN/>
        <w:bidi w:val="0"/>
        <w:adjustRightInd/>
        <w:snapToGrid w:val="0"/>
        <w:spacing w:line="460" w:lineRule="exact"/>
        <w:ind w:firstLine="480" w:firstLineChars="200"/>
        <w:textAlignment w:val="auto"/>
        <w:rPr>
          <w:rFonts w:hint="eastAsia" w:ascii="宋体" w:hAnsi="宋体" w:cs="宋体"/>
          <w:color w:val="auto"/>
          <w:sz w:val="24"/>
          <w:szCs w:val="24"/>
        </w:rPr>
      </w:pPr>
      <w:r>
        <w:rPr>
          <w:rFonts w:hint="eastAsia" w:ascii="宋体" w:hAnsi="宋体" w:cs="宋体"/>
          <w:color w:val="auto"/>
          <w:sz w:val="24"/>
          <w:szCs w:val="24"/>
        </w:rPr>
        <w:t>（五）特定资格条件证书或证明文件</w:t>
      </w:r>
    </w:p>
    <w:p w14:paraId="69BDB887">
      <w:pPr>
        <w:keepNext w:val="0"/>
        <w:keepLines w:val="0"/>
        <w:pageBreakBefore w:val="0"/>
        <w:widowControl w:val="0"/>
        <w:kinsoku/>
        <w:wordWrap/>
        <w:overflowPunct/>
        <w:topLinePunct w:val="0"/>
        <w:autoSpaceDE/>
        <w:autoSpaceDN/>
        <w:bidi w:val="0"/>
        <w:adjustRightInd/>
        <w:snapToGrid w:val="0"/>
        <w:spacing w:line="460" w:lineRule="exact"/>
        <w:ind w:firstLine="472" w:firstLineChars="196"/>
        <w:jc w:val="left"/>
        <w:textAlignment w:val="auto"/>
        <w:rPr>
          <w:rFonts w:hint="eastAsia" w:cs="宋体"/>
          <w:b/>
          <w:bCs/>
          <w:color w:val="auto"/>
          <w:sz w:val="24"/>
          <w:szCs w:val="24"/>
        </w:rPr>
      </w:pPr>
      <w:r>
        <w:rPr>
          <w:rFonts w:hint="eastAsia" w:ascii="宋体" w:hAnsi="宋体" w:cs="宋体"/>
          <w:b/>
          <w:bCs/>
          <w:color w:val="auto"/>
          <w:sz w:val="24"/>
          <w:szCs w:val="24"/>
        </w:rPr>
        <w:t>七、</w:t>
      </w:r>
      <w:r>
        <w:rPr>
          <w:rFonts w:hint="eastAsia" w:cs="宋体"/>
          <w:b/>
          <w:bCs/>
          <w:color w:val="auto"/>
          <w:sz w:val="24"/>
          <w:szCs w:val="24"/>
        </w:rPr>
        <w:t>商业活动廉洁经营承诺书</w:t>
      </w:r>
    </w:p>
    <w:p w14:paraId="02223923">
      <w:pPr>
        <w:widowControl/>
        <w:spacing w:line="520" w:lineRule="exact"/>
        <w:rPr>
          <w:rFonts w:hint="eastAsia" w:ascii="黑体" w:hAnsi="黑体" w:eastAsia="黑体" w:cs="黑体"/>
          <w:b/>
          <w:color w:val="auto"/>
          <w:sz w:val="36"/>
          <w:szCs w:val="32"/>
        </w:rPr>
      </w:pPr>
      <w:r>
        <w:rPr>
          <w:rFonts w:hint="eastAsia" w:ascii="宋体" w:hAnsi="宋体" w:cs="宋体"/>
          <w:color w:val="auto"/>
          <w:sz w:val="24"/>
          <w:szCs w:val="24"/>
        </w:rPr>
        <w:br w:type="column"/>
      </w:r>
      <w:bookmarkStart w:id="155" w:name="_Toc10063"/>
      <w:bookmarkStart w:id="156" w:name="_Toc22827"/>
      <w:bookmarkStart w:id="157" w:name="_Toc3094"/>
      <w:r>
        <w:rPr>
          <w:rFonts w:hint="eastAsia" w:ascii="宋体" w:hAnsi="宋体" w:cs="宋体"/>
          <w:b/>
          <w:bCs/>
          <w:color w:val="auto"/>
          <w:sz w:val="30"/>
          <w:szCs w:val="30"/>
          <w:lang w:val="en-US" w:eastAsia="zh-CN"/>
        </w:rPr>
        <w:t>遴</w:t>
      </w:r>
      <w:r>
        <w:rPr>
          <w:rFonts w:hint="eastAsia" w:ascii="宋体" w:hAnsi="宋体" w:cs="宋体"/>
          <w:b/>
          <w:bCs/>
          <w:color w:val="auto"/>
          <w:sz w:val="30"/>
          <w:szCs w:val="30"/>
        </w:rPr>
        <w:t>选文件</w:t>
      </w:r>
      <w:bookmarkEnd w:id="155"/>
      <w:bookmarkEnd w:id="156"/>
      <w:bookmarkEnd w:id="157"/>
      <w:r>
        <w:rPr>
          <w:rFonts w:hint="eastAsia" w:ascii="宋体" w:hAnsi="宋体" w:cs="宋体"/>
          <w:b/>
          <w:bCs/>
          <w:color w:val="auto"/>
          <w:sz w:val="30"/>
          <w:szCs w:val="30"/>
        </w:rPr>
        <w:t>封面</w:t>
      </w:r>
    </w:p>
    <w:p w14:paraId="38DDCFB4">
      <w:pPr>
        <w:spacing w:line="700" w:lineRule="exact"/>
        <w:rPr>
          <w:rFonts w:ascii="仿宋" w:hAnsi="仿宋" w:eastAsia="仿宋" w:cs="仿宋"/>
          <w:b/>
          <w:bCs/>
          <w:color w:val="auto"/>
          <w:sz w:val="32"/>
          <w:szCs w:val="32"/>
        </w:rPr>
      </w:pPr>
    </w:p>
    <w:p w14:paraId="6534C3F7">
      <w:pPr>
        <w:pStyle w:val="222"/>
        <w:jc w:val="center"/>
        <w:rPr>
          <w:rFonts w:ascii="宋体" w:hAnsi="宋体" w:eastAsia="宋体" w:cs="宋体"/>
          <w:b/>
          <w:color w:val="auto"/>
          <w:sz w:val="48"/>
          <w:szCs w:val="48"/>
        </w:rPr>
      </w:pPr>
      <w:r>
        <w:rPr>
          <w:rFonts w:hint="eastAsia" w:ascii="宋体" w:hAnsi="宋体" w:eastAsia="宋体" w:cs="宋体"/>
          <w:b/>
          <w:color w:val="auto"/>
          <w:sz w:val="48"/>
          <w:szCs w:val="48"/>
        </w:rPr>
        <w:t>XXXX采购项目</w:t>
      </w:r>
    </w:p>
    <w:p w14:paraId="2F65A0A1">
      <w:pPr>
        <w:pStyle w:val="222"/>
        <w:jc w:val="center"/>
        <w:rPr>
          <w:rFonts w:ascii="宋体" w:hAnsi="宋体" w:eastAsia="宋体" w:cs="宋体"/>
          <w:b/>
          <w:color w:val="auto"/>
          <w:sz w:val="44"/>
          <w:szCs w:val="44"/>
        </w:rPr>
      </w:pPr>
    </w:p>
    <w:p w14:paraId="69D74409">
      <w:pPr>
        <w:pStyle w:val="222"/>
        <w:jc w:val="center"/>
        <w:rPr>
          <w:rFonts w:hint="eastAsia" w:ascii="宋体" w:hAnsi="宋体" w:eastAsia="宋体" w:cs="宋体"/>
          <w:b/>
          <w:color w:val="auto"/>
          <w:sz w:val="96"/>
          <w:szCs w:val="96"/>
          <w:lang w:val="en-US" w:eastAsia="zh-CN"/>
        </w:rPr>
      </w:pPr>
      <w:r>
        <w:rPr>
          <w:rFonts w:hint="eastAsia" w:ascii="宋体" w:hAnsi="宋体" w:eastAsia="宋体" w:cs="宋体"/>
          <w:b/>
          <w:color w:val="auto"/>
          <w:sz w:val="96"/>
          <w:szCs w:val="96"/>
          <w:lang w:val="en-US" w:eastAsia="zh-CN"/>
        </w:rPr>
        <w:t>遴</w:t>
      </w:r>
    </w:p>
    <w:p w14:paraId="3ABF4393">
      <w:pPr>
        <w:pStyle w:val="222"/>
        <w:jc w:val="center"/>
        <w:rPr>
          <w:rFonts w:hint="eastAsia" w:ascii="宋体" w:hAnsi="宋体" w:eastAsia="宋体" w:cs="宋体"/>
          <w:b/>
          <w:color w:val="auto"/>
          <w:sz w:val="96"/>
          <w:szCs w:val="96"/>
        </w:rPr>
      </w:pPr>
      <w:r>
        <w:rPr>
          <w:rFonts w:hint="eastAsia" w:ascii="宋体" w:hAnsi="宋体" w:eastAsia="宋体" w:cs="宋体"/>
          <w:b/>
          <w:color w:val="auto"/>
          <w:sz w:val="96"/>
          <w:szCs w:val="96"/>
        </w:rPr>
        <w:t>选</w:t>
      </w:r>
    </w:p>
    <w:p w14:paraId="1676E7DD">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文</w:t>
      </w:r>
    </w:p>
    <w:p w14:paraId="03FDFE47">
      <w:pPr>
        <w:pStyle w:val="222"/>
        <w:jc w:val="center"/>
        <w:rPr>
          <w:rFonts w:ascii="宋体" w:hAnsi="宋体" w:eastAsia="宋体" w:cs="宋体"/>
          <w:b/>
          <w:color w:val="auto"/>
          <w:sz w:val="96"/>
          <w:szCs w:val="96"/>
        </w:rPr>
      </w:pPr>
      <w:r>
        <w:rPr>
          <w:rFonts w:hint="eastAsia" w:ascii="宋体" w:hAnsi="宋体" w:eastAsia="宋体" w:cs="宋体"/>
          <w:b/>
          <w:color w:val="auto"/>
          <w:sz w:val="96"/>
          <w:szCs w:val="96"/>
        </w:rPr>
        <w:t>件</w:t>
      </w:r>
    </w:p>
    <w:p w14:paraId="382F6898">
      <w:pPr>
        <w:pStyle w:val="222"/>
        <w:jc w:val="center"/>
        <w:rPr>
          <w:rFonts w:hint="eastAsia" w:ascii="宋体" w:hAnsi="宋体" w:eastAsia="宋体" w:cs="宋体"/>
          <w:color w:val="auto"/>
          <w:sz w:val="24"/>
        </w:rPr>
      </w:pPr>
    </w:p>
    <w:p w14:paraId="450CA41E">
      <w:pPr>
        <w:pStyle w:val="222"/>
        <w:ind w:firstLine="1285" w:firstLineChars="400"/>
        <w:rPr>
          <w:rFonts w:hint="eastAsia" w:ascii="宋体" w:hAnsi="宋体" w:eastAsia="宋体" w:cs="宋体"/>
          <w:b/>
          <w:bCs/>
          <w:color w:val="auto"/>
          <w:sz w:val="32"/>
          <w:szCs w:val="32"/>
          <w:u w:val="single"/>
        </w:rPr>
      </w:pPr>
      <w:r>
        <w:rPr>
          <w:rFonts w:hint="eastAsia" w:ascii="宋体" w:hAnsi="宋体" w:eastAsia="宋体" w:cs="宋体"/>
          <w:b/>
          <w:bCs/>
          <w:color w:val="auto"/>
          <w:sz w:val="32"/>
          <w:szCs w:val="32"/>
        </w:rPr>
        <w:t>竞选项目：</w:t>
      </w:r>
      <w:r>
        <w:rPr>
          <w:rFonts w:hint="eastAsia" w:ascii="宋体" w:hAnsi="宋体" w:eastAsia="宋体" w:cs="宋体"/>
          <w:b/>
          <w:bCs/>
          <w:color w:val="auto"/>
          <w:sz w:val="32"/>
          <w:szCs w:val="32"/>
          <w:lang w:eastAsia="zh-CN"/>
        </w:rPr>
        <w:t>耗材</w:t>
      </w:r>
      <w:r>
        <w:rPr>
          <w:rFonts w:hint="eastAsia" w:ascii="宋体" w:hAnsi="宋体" w:eastAsia="宋体" w:cs="宋体"/>
          <w:b/>
          <w:bCs/>
          <w:color w:val="auto"/>
          <w:sz w:val="32"/>
          <w:szCs w:val="32"/>
        </w:rPr>
        <w:t>名称</w:t>
      </w:r>
    </w:p>
    <w:p w14:paraId="14D984A3">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竞选人：XXXX</w:t>
      </w:r>
    </w:p>
    <w:p w14:paraId="3DE50B1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法定代表人或其委托代理人签字：XXXX</w:t>
      </w:r>
    </w:p>
    <w:p w14:paraId="6F337942">
      <w:pPr>
        <w:pStyle w:val="222"/>
        <w:ind w:firstLine="1285" w:firstLineChars="400"/>
        <w:rPr>
          <w:rFonts w:hint="eastAsia" w:ascii="宋体" w:hAnsi="宋体" w:eastAsia="宋体" w:cs="宋体"/>
          <w:b/>
          <w:bCs/>
          <w:color w:val="auto"/>
          <w:sz w:val="32"/>
          <w:szCs w:val="32"/>
        </w:rPr>
      </w:pPr>
      <w:r>
        <w:rPr>
          <w:rFonts w:hint="eastAsia" w:ascii="宋体" w:hAnsi="宋体" w:eastAsia="宋体" w:cs="宋体"/>
          <w:b/>
          <w:bCs/>
          <w:color w:val="auto"/>
          <w:sz w:val="32"/>
          <w:szCs w:val="32"/>
        </w:rPr>
        <w:t>联系方式：XXXX</w:t>
      </w:r>
    </w:p>
    <w:p w14:paraId="1CB67289">
      <w:pPr>
        <w:spacing w:line="360" w:lineRule="auto"/>
        <w:jc w:val="center"/>
        <w:rPr>
          <w:rFonts w:hint="eastAsia" w:ascii="宋体" w:hAnsi="宋体" w:cs="宋体"/>
          <w:b/>
          <w:bCs/>
          <w:color w:val="auto"/>
          <w:sz w:val="32"/>
          <w:szCs w:val="32"/>
        </w:rPr>
        <w:sectPr>
          <w:footerReference r:id="rId9" w:type="default"/>
          <w:pgSz w:w="11907" w:h="16840"/>
          <w:pgMar w:top="1134" w:right="1191" w:bottom="1134" w:left="1304" w:header="964" w:footer="992" w:gutter="0"/>
          <w:pgNumType w:fmt="numberInDash"/>
          <w:cols w:space="720" w:num="1"/>
          <w:docGrid w:linePitch="380" w:charSpace="-5735"/>
        </w:sectPr>
      </w:pPr>
      <w:r>
        <w:rPr>
          <w:rFonts w:hint="eastAsia" w:ascii="宋体" w:hAnsi="宋体" w:cs="宋体"/>
          <w:b/>
          <w:bCs/>
          <w:color w:val="auto"/>
          <w:sz w:val="32"/>
          <w:szCs w:val="32"/>
          <w:u w:val="single"/>
        </w:rPr>
        <w:t>_____</w:t>
      </w:r>
      <w:r>
        <w:rPr>
          <w:rFonts w:hint="eastAsia" w:ascii="宋体" w:hAnsi="宋体" w:cs="宋体"/>
          <w:b/>
          <w:bCs/>
          <w:color w:val="auto"/>
          <w:sz w:val="32"/>
          <w:szCs w:val="32"/>
        </w:rPr>
        <w:t>年</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月</w:t>
      </w:r>
      <w:r>
        <w:rPr>
          <w:rFonts w:hint="eastAsia" w:ascii="宋体" w:hAnsi="宋体" w:cs="宋体"/>
          <w:b/>
          <w:bCs/>
          <w:color w:val="auto"/>
          <w:sz w:val="32"/>
          <w:szCs w:val="32"/>
          <w:u w:val="single"/>
        </w:rPr>
        <w:t xml:space="preserve">  </w:t>
      </w:r>
      <w:r>
        <w:rPr>
          <w:rFonts w:hint="eastAsia" w:ascii="宋体" w:hAnsi="宋体" w:cs="宋体"/>
          <w:b/>
          <w:bCs/>
          <w:color w:val="auto"/>
          <w:sz w:val="32"/>
          <w:szCs w:val="32"/>
        </w:rPr>
        <w:t>日</w:t>
      </w:r>
    </w:p>
    <w:p w14:paraId="6D5D319D">
      <w:pPr>
        <w:pageBreakBefore/>
        <w:spacing w:line="500" w:lineRule="exact"/>
        <w:outlineLvl w:val="1"/>
        <w:rPr>
          <w:rFonts w:hint="eastAsia" w:cs="宋体"/>
          <w:b/>
          <w:color w:val="000000"/>
          <w:szCs w:val="28"/>
        </w:rPr>
      </w:pPr>
      <w:bookmarkStart w:id="158" w:name="_Toc15483"/>
      <w:bookmarkStart w:id="159" w:name="OLE_LINK9"/>
      <w:bookmarkStart w:id="160" w:name="OLE_LINK6"/>
      <w:bookmarkStart w:id="161" w:name="_Toc76373909"/>
      <w:bookmarkStart w:id="162" w:name="_Toc9795"/>
      <w:bookmarkStart w:id="163" w:name="_Toc21431"/>
      <w:bookmarkStart w:id="164" w:name="_Toc27306"/>
      <w:bookmarkStart w:id="165" w:name="_Toc493178790"/>
      <w:bookmarkStart w:id="166" w:name="_Toc21830"/>
      <w:bookmarkStart w:id="167" w:name="_Toc28644"/>
      <w:bookmarkStart w:id="168" w:name="_Toc23879"/>
      <w:bookmarkStart w:id="169" w:name="OLE_LINK12"/>
      <w:r>
        <w:rPr>
          <w:rFonts w:hint="eastAsia" w:cs="宋体"/>
          <w:b/>
          <w:color w:val="000000"/>
          <w:szCs w:val="28"/>
          <w:lang w:eastAsia="zh-CN"/>
        </w:rPr>
        <w:t>一</w:t>
      </w:r>
      <w:r>
        <w:rPr>
          <w:rFonts w:hint="eastAsia" w:cs="宋体"/>
          <w:b/>
          <w:color w:val="000000"/>
          <w:szCs w:val="28"/>
        </w:rPr>
        <w:t>、</w:t>
      </w:r>
      <w:r>
        <w:rPr>
          <w:rFonts w:hint="eastAsia" w:cs="宋体"/>
          <w:b/>
          <w:color w:val="000000"/>
          <w:szCs w:val="28"/>
          <w:lang w:eastAsia="zh-CN"/>
        </w:rPr>
        <w:t>经济</w:t>
      </w:r>
      <w:r>
        <w:rPr>
          <w:rFonts w:hint="eastAsia" w:cs="宋体"/>
          <w:b/>
          <w:color w:val="000000"/>
          <w:szCs w:val="28"/>
        </w:rPr>
        <w:t>文件</w:t>
      </w:r>
      <w:bookmarkEnd w:id="158"/>
    </w:p>
    <w:bookmarkEnd w:id="159"/>
    <w:bookmarkEnd w:id="160"/>
    <w:p w14:paraId="274851CC">
      <w:pPr>
        <w:numPr>
          <w:ilvl w:val="0"/>
          <w:numId w:val="0"/>
        </w:numPr>
        <w:tabs>
          <w:tab w:val="left" w:pos="6300"/>
        </w:tabs>
        <w:snapToGrid w:val="0"/>
        <w:spacing w:line="312" w:lineRule="auto"/>
        <w:ind w:firstLine="480" w:firstLineChars="200"/>
        <w:rPr>
          <w:rFonts w:hint="eastAsia" w:ascii="宋体" w:hAnsi="宋体" w:eastAsia="宋体" w:cs="宋体"/>
          <w:sz w:val="24"/>
          <w:szCs w:val="24"/>
        </w:rPr>
      </w:pPr>
      <w:bookmarkStart w:id="170" w:name="OLE_LINK10"/>
      <w:r>
        <w:rPr>
          <w:rFonts w:hint="eastAsia" w:ascii="宋体" w:hAnsi="宋体" w:eastAsia="宋体" w:cs="宋体"/>
          <w:sz w:val="24"/>
          <w:szCs w:val="24"/>
          <w:lang w:eastAsia="zh-CN"/>
        </w:rPr>
        <w:t>（</w:t>
      </w:r>
      <w:r>
        <w:rPr>
          <w:rFonts w:hint="eastAsia" w:ascii="宋体" w:hAnsi="宋体" w:cs="宋体"/>
          <w:sz w:val="24"/>
          <w:szCs w:val="24"/>
          <w:lang w:val="en-US" w:eastAsia="zh-CN"/>
        </w:rPr>
        <w:t>一</w:t>
      </w:r>
      <w:r>
        <w:rPr>
          <w:rFonts w:hint="eastAsia" w:ascii="宋体" w:hAnsi="宋体" w:eastAsia="宋体" w:cs="宋体"/>
          <w:sz w:val="24"/>
          <w:szCs w:val="24"/>
          <w:lang w:eastAsia="zh-CN"/>
        </w:rPr>
        <w:t>）</w:t>
      </w:r>
      <w:r>
        <w:rPr>
          <w:rFonts w:hint="eastAsia" w:ascii="宋体" w:hAnsi="宋体" w:eastAsia="宋体" w:cs="宋体"/>
          <w:sz w:val="24"/>
          <w:szCs w:val="24"/>
        </w:rPr>
        <w:t>开标现场最终报价表</w:t>
      </w:r>
    </w:p>
    <w:bookmarkEnd w:id="170"/>
    <w:p w14:paraId="76B976A1">
      <w:pPr>
        <w:pStyle w:val="22"/>
        <w:numPr>
          <w:ilvl w:val="0"/>
          <w:numId w:val="0"/>
        </w:numPr>
        <w:rPr>
          <w:rFonts w:hint="eastAsia" w:ascii="宋体" w:hAnsi="宋体" w:eastAsia="宋体" w:cs="宋体"/>
          <w:color w:val="000000"/>
          <w:sz w:val="24"/>
          <w:szCs w:val="24"/>
          <w:lang w:eastAsia="zh-CN"/>
        </w:rPr>
      </w:pPr>
      <w:r>
        <w:rPr>
          <w:rFonts w:hint="eastAsia"/>
          <w:lang w:val="en-US" w:eastAsia="zh-CN"/>
        </w:rPr>
        <w:t xml:space="preserve">     注：</w:t>
      </w:r>
      <w:r>
        <w:rPr>
          <w:rFonts w:hint="eastAsia" w:ascii="宋体" w:hAnsi="宋体" w:eastAsia="宋体" w:cs="宋体"/>
          <w:color w:val="000000"/>
          <w:sz w:val="24"/>
          <w:szCs w:val="24"/>
          <w:lang w:val="en-US" w:eastAsia="zh-CN"/>
        </w:rPr>
        <w:t>“</w:t>
      </w:r>
      <w:r>
        <w:rPr>
          <w:rFonts w:hint="eastAsia" w:ascii="宋体" w:hAnsi="宋体" w:eastAsia="宋体" w:cs="宋体"/>
          <w:color w:val="000000"/>
          <w:sz w:val="24"/>
          <w:szCs w:val="24"/>
        </w:rPr>
        <w:t>开标现场最终报价表</w:t>
      </w:r>
      <w:r>
        <w:rPr>
          <w:rFonts w:hint="eastAsia" w:ascii="宋体" w:hAnsi="宋体" w:eastAsia="宋体" w:cs="宋体"/>
          <w:color w:val="000000"/>
          <w:sz w:val="24"/>
          <w:szCs w:val="24"/>
          <w:lang w:val="en-US" w:eastAsia="zh-CN"/>
        </w:rPr>
        <w:t>”</w:t>
      </w:r>
      <w:r>
        <w:rPr>
          <w:rFonts w:hint="default" w:ascii="宋体" w:hAnsi="宋体" w:eastAsia="宋体" w:cs="宋体"/>
          <w:color w:val="000000"/>
          <w:sz w:val="24"/>
          <w:szCs w:val="24"/>
          <w:lang w:val="en-US" w:eastAsia="zh-CN"/>
        </w:rPr>
        <w:t>须</w:t>
      </w:r>
      <w:r>
        <w:rPr>
          <w:rFonts w:hint="default" w:ascii="宋体" w:hAnsi="宋体" w:eastAsia="宋体" w:cs="宋体"/>
          <w:color w:val="000000"/>
          <w:sz w:val="24"/>
          <w:szCs w:val="24"/>
        </w:rPr>
        <w:t>与报名时提交的“耗材报名表”的中载明的产品信息（含产品注册证名称、规格型号、顺序等）保持一致</w:t>
      </w:r>
      <w:r>
        <w:rPr>
          <w:rFonts w:hint="eastAsia" w:ascii="宋体" w:hAnsi="宋体" w:eastAsia="宋体" w:cs="宋体"/>
          <w:color w:val="000000"/>
          <w:sz w:val="24"/>
          <w:szCs w:val="24"/>
          <w:lang w:eastAsia="zh-CN"/>
        </w:rPr>
        <w:t>。</w:t>
      </w:r>
      <w:r>
        <w:rPr>
          <w:rFonts w:hint="eastAsia" w:ascii="宋体" w:hAnsi="宋体" w:eastAsia="宋体" w:cs="宋体"/>
          <w:b/>
          <w:bCs/>
          <w:color w:val="000000"/>
          <w:sz w:val="24"/>
          <w:szCs w:val="24"/>
          <w:lang w:val="en-US" w:eastAsia="zh-CN"/>
        </w:rPr>
        <w:t>“</w:t>
      </w:r>
      <w:r>
        <w:rPr>
          <w:rFonts w:hint="eastAsia" w:ascii="宋体" w:hAnsi="宋体" w:eastAsia="宋体" w:cs="宋体"/>
          <w:b/>
          <w:bCs/>
          <w:color w:val="000000"/>
          <w:sz w:val="24"/>
          <w:szCs w:val="24"/>
        </w:rPr>
        <w:t>开标现场最终报价表</w:t>
      </w:r>
      <w:r>
        <w:rPr>
          <w:rFonts w:hint="eastAsia" w:ascii="宋体" w:hAnsi="宋体" w:eastAsia="宋体" w:cs="宋体"/>
          <w:b/>
          <w:bCs/>
          <w:color w:val="000000"/>
          <w:sz w:val="24"/>
          <w:szCs w:val="24"/>
          <w:lang w:val="en-US" w:eastAsia="zh-CN"/>
        </w:rPr>
        <w:t>”除了报价现场填写，其他电子文档填写后打印做到标书里面。</w:t>
      </w:r>
    </w:p>
    <w:p w14:paraId="1E02DC79">
      <w:pPr>
        <w:rPr>
          <w:rFonts w:hint="default"/>
          <w:lang w:val="en-US" w:eastAsia="zh-CN"/>
        </w:rPr>
      </w:pPr>
    </w:p>
    <w:p w14:paraId="0B55774C">
      <w:pPr>
        <w:jc w:val="center"/>
        <w:rPr>
          <w:rFonts w:hint="eastAsia" w:ascii="宋体" w:hAnsi="宋体" w:eastAsia="宋体" w:cs="宋体"/>
          <w:sz w:val="36"/>
          <w:szCs w:val="36"/>
        </w:rPr>
      </w:pPr>
      <w:bookmarkStart w:id="171" w:name="OLE_LINK5"/>
      <w:r>
        <w:rPr>
          <w:rFonts w:hint="eastAsia" w:ascii="宋体" w:hAnsi="宋体" w:eastAsia="宋体" w:cs="宋体"/>
          <w:b/>
          <w:color w:val="auto"/>
          <w:sz w:val="36"/>
          <w:szCs w:val="36"/>
        </w:rPr>
        <w:t>开标现场最终报价表</w:t>
      </w:r>
      <w:bookmarkEnd w:id="171"/>
    </w:p>
    <w:p w14:paraId="1B923B22">
      <w:pPr>
        <w:tabs>
          <w:tab w:val="left" w:pos="6300"/>
        </w:tabs>
        <w:snapToGrid w:val="0"/>
        <w:spacing w:line="312" w:lineRule="auto"/>
        <w:rPr>
          <w:rFonts w:hint="eastAsia" w:ascii="宋体" w:hAnsi="宋体" w:eastAsia="宋体" w:cs="宋体"/>
          <w:sz w:val="28"/>
          <w:szCs w:val="28"/>
        </w:rPr>
      </w:pPr>
      <w:r>
        <w:rPr>
          <w:rFonts w:hint="eastAsia" w:ascii="宋体" w:hAnsi="宋体" w:eastAsia="宋体" w:cs="宋体"/>
          <w:sz w:val="28"/>
          <w:szCs w:val="28"/>
          <w:lang w:eastAsia="zh-CN"/>
        </w:rPr>
        <w:t>竞选</w:t>
      </w:r>
      <w:r>
        <w:rPr>
          <w:rFonts w:hint="eastAsia" w:ascii="宋体" w:hAnsi="宋体" w:eastAsia="宋体" w:cs="宋体"/>
          <w:sz w:val="28"/>
          <w:szCs w:val="28"/>
        </w:rPr>
        <w:t>项目名称：</w:t>
      </w:r>
    </w:p>
    <w:tbl>
      <w:tblPr>
        <w:tblStyle w:val="59"/>
        <w:tblW w:w="153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
        <w:gridCol w:w="930"/>
        <w:gridCol w:w="999"/>
        <w:gridCol w:w="1454"/>
        <w:gridCol w:w="1118"/>
        <w:gridCol w:w="1037"/>
        <w:gridCol w:w="836"/>
        <w:gridCol w:w="1373"/>
        <w:gridCol w:w="900"/>
        <w:gridCol w:w="1245"/>
        <w:gridCol w:w="1291"/>
        <w:gridCol w:w="1163"/>
        <w:gridCol w:w="1408"/>
        <w:gridCol w:w="946"/>
      </w:tblGrid>
      <w:tr w14:paraId="5031E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690" w:type="dxa"/>
            <w:noWrap w:val="0"/>
            <w:vAlign w:val="center"/>
          </w:tcPr>
          <w:p w14:paraId="1ED2A656">
            <w:pPr>
              <w:jc w:val="center"/>
              <w:rPr>
                <w:rFonts w:hint="eastAsia" w:ascii="宋体" w:hAnsi="宋体" w:eastAsia="宋体" w:cs="宋体"/>
                <w:b w:val="0"/>
                <w:bCs/>
                <w:sz w:val="28"/>
                <w:szCs w:val="28"/>
                <w:lang w:val="de-DE" w:eastAsia="zh-CN"/>
              </w:rPr>
            </w:pPr>
            <w:r>
              <w:rPr>
                <w:rFonts w:hint="eastAsia" w:ascii="宋体" w:hAnsi="宋体" w:eastAsia="宋体" w:cs="宋体"/>
                <w:b w:val="0"/>
                <w:bCs/>
                <w:sz w:val="28"/>
                <w:szCs w:val="28"/>
                <w:lang w:val="de-DE" w:eastAsia="zh-CN"/>
              </w:rPr>
              <w:t>序号</w:t>
            </w:r>
          </w:p>
        </w:tc>
        <w:tc>
          <w:tcPr>
            <w:tcW w:w="930" w:type="dxa"/>
            <w:noWrap w:val="0"/>
            <w:vAlign w:val="center"/>
          </w:tcPr>
          <w:p w14:paraId="659E992A">
            <w:pPr>
              <w:jc w:val="center"/>
              <w:rPr>
                <w:rFonts w:hint="eastAsia" w:ascii="宋体" w:hAnsi="宋体" w:eastAsia="宋体" w:cs="宋体"/>
                <w:b w:val="0"/>
                <w:bCs/>
                <w:color w:val="000000"/>
                <w:sz w:val="28"/>
                <w:szCs w:val="28"/>
                <w:lang w:eastAsia="zh-CN"/>
              </w:rPr>
            </w:pPr>
            <w:r>
              <w:rPr>
                <w:rFonts w:hint="eastAsia" w:ascii="宋体" w:hAnsi="宋体" w:eastAsia="宋体" w:cs="宋体"/>
                <w:b w:val="0"/>
                <w:bCs/>
                <w:color w:val="000000"/>
                <w:sz w:val="28"/>
                <w:szCs w:val="28"/>
                <w:lang w:eastAsia="zh-CN"/>
              </w:rPr>
              <w:t>国家医保编码</w:t>
            </w:r>
          </w:p>
        </w:tc>
        <w:tc>
          <w:tcPr>
            <w:tcW w:w="999" w:type="dxa"/>
            <w:noWrap w:val="0"/>
            <w:vAlign w:val="center"/>
          </w:tcPr>
          <w:p w14:paraId="15918207">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医疗器械</w:t>
            </w:r>
            <w:r>
              <w:rPr>
                <w:rFonts w:hint="eastAsia" w:ascii="宋体" w:hAnsi="宋体" w:eastAsia="宋体" w:cs="宋体"/>
                <w:b w:val="0"/>
                <w:bCs/>
                <w:sz w:val="28"/>
                <w:szCs w:val="28"/>
                <w:lang w:val="de-DE"/>
              </w:rPr>
              <w:t>注册证名称</w:t>
            </w:r>
          </w:p>
        </w:tc>
        <w:tc>
          <w:tcPr>
            <w:tcW w:w="1454" w:type="dxa"/>
            <w:noWrap w:val="0"/>
            <w:vAlign w:val="center"/>
          </w:tcPr>
          <w:p w14:paraId="1E4FC673">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医疗器械注册证号/有效期</w:t>
            </w:r>
          </w:p>
        </w:tc>
        <w:tc>
          <w:tcPr>
            <w:tcW w:w="1118" w:type="dxa"/>
            <w:noWrap w:val="0"/>
            <w:vAlign w:val="center"/>
          </w:tcPr>
          <w:p w14:paraId="0615C3CF">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规格型号</w:t>
            </w:r>
          </w:p>
        </w:tc>
        <w:tc>
          <w:tcPr>
            <w:tcW w:w="1037" w:type="dxa"/>
            <w:noWrap w:val="0"/>
            <w:vAlign w:val="center"/>
          </w:tcPr>
          <w:p w14:paraId="38A95FB0">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生产厂家</w:t>
            </w:r>
          </w:p>
        </w:tc>
        <w:tc>
          <w:tcPr>
            <w:tcW w:w="836" w:type="dxa"/>
            <w:noWrap w:val="0"/>
            <w:vAlign w:val="center"/>
          </w:tcPr>
          <w:p w14:paraId="44DB4A74">
            <w:pPr>
              <w:ind w:right="-207" w:rightChars="-74"/>
              <w:jc w:val="both"/>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产地</w:t>
            </w:r>
          </w:p>
        </w:tc>
        <w:tc>
          <w:tcPr>
            <w:tcW w:w="1373" w:type="dxa"/>
            <w:noWrap w:val="0"/>
            <w:vAlign w:val="center"/>
          </w:tcPr>
          <w:p w14:paraId="60186028">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药交所平台挂网最低价/计价单位</w:t>
            </w:r>
          </w:p>
        </w:tc>
        <w:tc>
          <w:tcPr>
            <w:tcW w:w="900" w:type="dxa"/>
            <w:noWrap w:val="0"/>
            <w:vAlign w:val="center"/>
          </w:tcPr>
          <w:p w14:paraId="730C6325">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rPr>
              <w:t>计数单位</w:t>
            </w:r>
          </w:p>
        </w:tc>
        <w:tc>
          <w:tcPr>
            <w:tcW w:w="1245" w:type="dxa"/>
            <w:noWrap w:val="0"/>
            <w:vAlign w:val="center"/>
          </w:tcPr>
          <w:p w14:paraId="38BFFE73">
            <w:pPr>
              <w:jc w:val="center"/>
              <w:rPr>
                <w:rFonts w:hint="eastAsia" w:ascii="宋体" w:hAnsi="宋体" w:eastAsia="宋体" w:cs="宋体"/>
                <w:b w:val="0"/>
                <w:bCs/>
                <w:color w:val="000000"/>
                <w:sz w:val="28"/>
                <w:szCs w:val="28"/>
              </w:rPr>
            </w:pPr>
            <w:r>
              <w:rPr>
                <w:rFonts w:hint="eastAsia" w:ascii="宋体" w:hAnsi="宋体" w:eastAsia="宋体" w:cs="宋体"/>
                <w:b w:val="0"/>
                <w:bCs/>
                <w:color w:val="000000"/>
                <w:sz w:val="28"/>
                <w:szCs w:val="28"/>
                <w:lang w:val="en-US" w:eastAsia="zh-CN"/>
              </w:rPr>
              <w:t>线上报</w:t>
            </w:r>
            <w:r>
              <w:rPr>
                <w:rFonts w:hint="eastAsia" w:ascii="宋体" w:hAnsi="宋体" w:eastAsia="宋体" w:cs="宋体"/>
                <w:b w:val="0"/>
                <w:bCs/>
                <w:color w:val="000000"/>
                <w:sz w:val="28"/>
                <w:szCs w:val="28"/>
              </w:rPr>
              <w:t>价（元）</w:t>
            </w:r>
          </w:p>
        </w:tc>
        <w:tc>
          <w:tcPr>
            <w:tcW w:w="1291" w:type="dxa"/>
            <w:noWrap w:val="0"/>
            <w:vAlign w:val="center"/>
          </w:tcPr>
          <w:p w14:paraId="3B51D39B">
            <w:pPr>
              <w:jc w:val="center"/>
              <w:rPr>
                <w:rFonts w:hint="default" w:ascii="宋体" w:hAnsi="宋体" w:eastAsia="宋体" w:cs="宋体"/>
                <w:b w:val="0"/>
                <w:bCs/>
                <w:color w:val="000000"/>
                <w:sz w:val="28"/>
                <w:szCs w:val="28"/>
                <w:lang w:val="en-US" w:eastAsia="zh-CN"/>
              </w:rPr>
            </w:pPr>
            <w:r>
              <w:rPr>
                <w:rFonts w:hint="eastAsia" w:ascii="宋体" w:hAnsi="宋体" w:eastAsia="宋体" w:cs="宋体"/>
                <w:b w:val="0"/>
                <w:bCs/>
                <w:color w:val="000000"/>
                <w:sz w:val="28"/>
                <w:szCs w:val="28"/>
                <w:lang w:val="en-US" w:eastAsia="zh-CN"/>
              </w:rPr>
              <w:t>线上报价(元/人份)</w:t>
            </w:r>
          </w:p>
        </w:tc>
        <w:tc>
          <w:tcPr>
            <w:tcW w:w="1163" w:type="dxa"/>
            <w:noWrap w:val="0"/>
            <w:vAlign w:val="center"/>
          </w:tcPr>
          <w:p w14:paraId="44256DB1">
            <w:pPr>
              <w:jc w:val="center"/>
              <w:rPr>
                <w:rFonts w:hint="eastAsia" w:ascii="宋体" w:hAnsi="宋体" w:eastAsia="宋体" w:cs="宋体"/>
                <w:b w:val="0"/>
                <w:bCs/>
                <w:color w:val="000000"/>
                <w:sz w:val="28"/>
                <w:szCs w:val="28"/>
                <w:lang w:val="en-US" w:eastAsia="zh-CN"/>
              </w:rPr>
            </w:pPr>
            <w:r>
              <w:rPr>
                <w:rFonts w:hint="eastAsia" w:ascii="宋体" w:hAnsi="宋体" w:eastAsia="宋体" w:cs="宋体"/>
                <w:b w:val="0"/>
                <w:bCs/>
                <w:color w:val="000000"/>
                <w:sz w:val="28"/>
                <w:szCs w:val="28"/>
                <w:lang w:val="en-US" w:eastAsia="zh-CN"/>
              </w:rPr>
              <w:t>备案采购报价（元）</w:t>
            </w:r>
          </w:p>
        </w:tc>
        <w:tc>
          <w:tcPr>
            <w:tcW w:w="1408" w:type="dxa"/>
            <w:noWrap w:val="0"/>
            <w:vAlign w:val="center"/>
          </w:tcPr>
          <w:p w14:paraId="5D329914">
            <w:pPr>
              <w:jc w:val="center"/>
              <w:rPr>
                <w:rFonts w:hint="eastAsia" w:ascii="宋体" w:hAnsi="宋体" w:eastAsia="宋体" w:cs="宋体"/>
                <w:b w:val="0"/>
                <w:bCs/>
                <w:color w:val="000000"/>
                <w:sz w:val="28"/>
                <w:szCs w:val="28"/>
                <w:lang w:val="en-US" w:eastAsia="zh-CN"/>
              </w:rPr>
            </w:pPr>
            <w:r>
              <w:rPr>
                <w:rFonts w:hint="eastAsia" w:ascii="宋体" w:hAnsi="宋体" w:eastAsia="宋体" w:cs="宋体"/>
                <w:b w:val="0"/>
                <w:bCs/>
                <w:color w:val="000000"/>
                <w:sz w:val="28"/>
                <w:szCs w:val="28"/>
                <w:lang w:val="en-US" w:eastAsia="zh-CN"/>
              </w:rPr>
              <w:t>备案采购报价（元/人份）</w:t>
            </w:r>
          </w:p>
        </w:tc>
        <w:tc>
          <w:tcPr>
            <w:tcW w:w="946" w:type="dxa"/>
            <w:noWrap w:val="0"/>
            <w:vAlign w:val="center"/>
          </w:tcPr>
          <w:p w14:paraId="2C2E974A">
            <w:pPr>
              <w:jc w:val="center"/>
              <w:rPr>
                <w:rFonts w:hint="eastAsia" w:ascii="宋体" w:hAnsi="宋体" w:eastAsia="宋体" w:cs="宋体"/>
                <w:b w:val="0"/>
                <w:bCs/>
                <w:color w:val="000000"/>
                <w:sz w:val="28"/>
                <w:szCs w:val="28"/>
              </w:rPr>
            </w:pPr>
            <w:r>
              <w:rPr>
                <w:rFonts w:hint="eastAsia" w:ascii="宋体" w:hAnsi="宋体" w:cs="宋体"/>
                <w:b w:val="0"/>
                <w:bCs/>
                <w:color w:val="000000"/>
                <w:sz w:val="28"/>
                <w:szCs w:val="28"/>
                <w:lang w:val="en-US" w:eastAsia="zh-CN"/>
              </w:rPr>
              <w:t>物价收费折扣比例</w:t>
            </w:r>
          </w:p>
        </w:tc>
      </w:tr>
      <w:tr w14:paraId="3983E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0" w:type="dxa"/>
            <w:noWrap w:val="0"/>
            <w:vAlign w:val="center"/>
          </w:tcPr>
          <w:p w14:paraId="4E263E74">
            <w:pPr>
              <w:spacing w:line="480" w:lineRule="auto"/>
              <w:jc w:val="center"/>
              <w:rPr>
                <w:rFonts w:hint="eastAsia" w:ascii="宋体" w:hAnsi="宋体" w:eastAsia="宋体" w:cs="宋体"/>
                <w:sz w:val="28"/>
                <w:szCs w:val="28"/>
                <w:lang w:val="de-DE"/>
              </w:rPr>
            </w:pPr>
          </w:p>
        </w:tc>
        <w:tc>
          <w:tcPr>
            <w:tcW w:w="930" w:type="dxa"/>
            <w:noWrap w:val="0"/>
            <w:vAlign w:val="center"/>
          </w:tcPr>
          <w:p w14:paraId="536C8358">
            <w:pPr>
              <w:spacing w:line="480" w:lineRule="auto"/>
              <w:jc w:val="center"/>
              <w:rPr>
                <w:rFonts w:hint="eastAsia" w:ascii="宋体" w:hAnsi="宋体" w:eastAsia="宋体" w:cs="宋体"/>
                <w:sz w:val="28"/>
                <w:szCs w:val="28"/>
                <w:lang w:val="de-DE"/>
              </w:rPr>
            </w:pPr>
          </w:p>
        </w:tc>
        <w:tc>
          <w:tcPr>
            <w:tcW w:w="999" w:type="dxa"/>
            <w:noWrap w:val="0"/>
            <w:vAlign w:val="center"/>
          </w:tcPr>
          <w:p w14:paraId="52E0AE9C">
            <w:pPr>
              <w:spacing w:line="480" w:lineRule="auto"/>
              <w:jc w:val="center"/>
              <w:rPr>
                <w:rFonts w:hint="eastAsia" w:ascii="宋体" w:hAnsi="宋体" w:eastAsia="宋体" w:cs="宋体"/>
                <w:sz w:val="28"/>
                <w:szCs w:val="28"/>
                <w:lang w:val="de-DE"/>
              </w:rPr>
            </w:pPr>
          </w:p>
        </w:tc>
        <w:tc>
          <w:tcPr>
            <w:tcW w:w="1454" w:type="dxa"/>
            <w:noWrap w:val="0"/>
            <w:vAlign w:val="center"/>
          </w:tcPr>
          <w:p w14:paraId="0FAAC806">
            <w:pPr>
              <w:spacing w:line="480" w:lineRule="auto"/>
              <w:jc w:val="center"/>
              <w:rPr>
                <w:rFonts w:hint="eastAsia" w:ascii="宋体" w:hAnsi="宋体" w:eastAsia="宋体" w:cs="宋体"/>
                <w:color w:val="000000"/>
                <w:sz w:val="28"/>
                <w:szCs w:val="28"/>
              </w:rPr>
            </w:pPr>
          </w:p>
        </w:tc>
        <w:tc>
          <w:tcPr>
            <w:tcW w:w="1118" w:type="dxa"/>
            <w:noWrap w:val="0"/>
            <w:vAlign w:val="center"/>
          </w:tcPr>
          <w:p w14:paraId="267D5356">
            <w:pPr>
              <w:spacing w:line="480" w:lineRule="auto"/>
              <w:jc w:val="center"/>
              <w:rPr>
                <w:rFonts w:hint="eastAsia" w:ascii="宋体" w:hAnsi="宋体" w:eastAsia="宋体" w:cs="宋体"/>
                <w:color w:val="000000"/>
                <w:sz w:val="28"/>
                <w:szCs w:val="28"/>
              </w:rPr>
            </w:pPr>
          </w:p>
        </w:tc>
        <w:tc>
          <w:tcPr>
            <w:tcW w:w="1037" w:type="dxa"/>
            <w:noWrap w:val="0"/>
            <w:vAlign w:val="center"/>
          </w:tcPr>
          <w:p w14:paraId="542E66EC">
            <w:pPr>
              <w:spacing w:line="480" w:lineRule="auto"/>
              <w:jc w:val="center"/>
              <w:rPr>
                <w:rFonts w:hint="eastAsia" w:ascii="宋体" w:hAnsi="宋体" w:eastAsia="宋体" w:cs="宋体"/>
                <w:color w:val="000000"/>
                <w:sz w:val="28"/>
                <w:szCs w:val="28"/>
              </w:rPr>
            </w:pPr>
          </w:p>
        </w:tc>
        <w:tc>
          <w:tcPr>
            <w:tcW w:w="836" w:type="dxa"/>
            <w:noWrap w:val="0"/>
            <w:vAlign w:val="center"/>
          </w:tcPr>
          <w:p w14:paraId="10B7595A">
            <w:pPr>
              <w:spacing w:line="480" w:lineRule="auto"/>
              <w:jc w:val="center"/>
              <w:rPr>
                <w:rFonts w:hint="eastAsia" w:ascii="宋体" w:hAnsi="宋体" w:eastAsia="宋体" w:cs="宋体"/>
                <w:color w:val="000000"/>
                <w:sz w:val="28"/>
                <w:szCs w:val="28"/>
              </w:rPr>
            </w:pPr>
          </w:p>
        </w:tc>
        <w:tc>
          <w:tcPr>
            <w:tcW w:w="1373" w:type="dxa"/>
            <w:noWrap w:val="0"/>
            <w:vAlign w:val="center"/>
          </w:tcPr>
          <w:p w14:paraId="48D34D84">
            <w:pPr>
              <w:spacing w:line="480" w:lineRule="auto"/>
              <w:jc w:val="center"/>
              <w:rPr>
                <w:rFonts w:hint="eastAsia" w:ascii="宋体" w:hAnsi="宋体" w:eastAsia="宋体" w:cs="宋体"/>
                <w:color w:val="000000"/>
                <w:sz w:val="28"/>
                <w:szCs w:val="28"/>
              </w:rPr>
            </w:pPr>
          </w:p>
        </w:tc>
        <w:tc>
          <w:tcPr>
            <w:tcW w:w="900" w:type="dxa"/>
            <w:noWrap w:val="0"/>
            <w:vAlign w:val="center"/>
          </w:tcPr>
          <w:p w14:paraId="26480FD8">
            <w:pPr>
              <w:spacing w:line="480" w:lineRule="auto"/>
              <w:jc w:val="center"/>
              <w:rPr>
                <w:rFonts w:hint="eastAsia" w:ascii="宋体" w:hAnsi="宋体" w:eastAsia="宋体" w:cs="宋体"/>
                <w:color w:val="000000"/>
                <w:sz w:val="28"/>
                <w:szCs w:val="28"/>
              </w:rPr>
            </w:pPr>
          </w:p>
        </w:tc>
        <w:tc>
          <w:tcPr>
            <w:tcW w:w="1245" w:type="dxa"/>
            <w:noWrap w:val="0"/>
            <w:vAlign w:val="center"/>
          </w:tcPr>
          <w:p w14:paraId="3BF6FB3C">
            <w:pPr>
              <w:spacing w:line="480" w:lineRule="auto"/>
              <w:jc w:val="center"/>
              <w:rPr>
                <w:rFonts w:hint="eastAsia" w:ascii="宋体" w:hAnsi="宋体" w:eastAsia="宋体" w:cs="宋体"/>
                <w:color w:val="000000"/>
                <w:sz w:val="28"/>
                <w:szCs w:val="28"/>
              </w:rPr>
            </w:pPr>
          </w:p>
        </w:tc>
        <w:tc>
          <w:tcPr>
            <w:tcW w:w="1291" w:type="dxa"/>
            <w:noWrap w:val="0"/>
            <w:vAlign w:val="center"/>
          </w:tcPr>
          <w:p w14:paraId="5F6050B0">
            <w:pPr>
              <w:spacing w:line="480" w:lineRule="auto"/>
              <w:jc w:val="center"/>
              <w:rPr>
                <w:rFonts w:hint="eastAsia" w:ascii="宋体" w:hAnsi="宋体" w:eastAsia="宋体" w:cs="宋体"/>
                <w:color w:val="000000"/>
                <w:sz w:val="28"/>
                <w:szCs w:val="28"/>
              </w:rPr>
            </w:pPr>
          </w:p>
        </w:tc>
        <w:tc>
          <w:tcPr>
            <w:tcW w:w="1163" w:type="dxa"/>
            <w:noWrap w:val="0"/>
            <w:vAlign w:val="center"/>
          </w:tcPr>
          <w:p w14:paraId="3F3081C9">
            <w:pPr>
              <w:spacing w:line="480" w:lineRule="auto"/>
              <w:jc w:val="center"/>
              <w:rPr>
                <w:rFonts w:hint="eastAsia" w:ascii="宋体" w:hAnsi="宋体" w:eastAsia="宋体" w:cs="宋体"/>
                <w:color w:val="000000"/>
                <w:sz w:val="28"/>
                <w:szCs w:val="28"/>
              </w:rPr>
            </w:pPr>
          </w:p>
        </w:tc>
        <w:tc>
          <w:tcPr>
            <w:tcW w:w="1408" w:type="dxa"/>
            <w:noWrap w:val="0"/>
            <w:vAlign w:val="center"/>
          </w:tcPr>
          <w:p w14:paraId="357B9CD2">
            <w:pPr>
              <w:spacing w:line="480" w:lineRule="auto"/>
              <w:jc w:val="center"/>
              <w:rPr>
                <w:rFonts w:hint="eastAsia" w:ascii="宋体" w:hAnsi="宋体" w:eastAsia="宋体" w:cs="宋体"/>
                <w:color w:val="000000"/>
                <w:sz w:val="28"/>
                <w:szCs w:val="28"/>
              </w:rPr>
            </w:pPr>
          </w:p>
        </w:tc>
        <w:tc>
          <w:tcPr>
            <w:tcW w:w="946" w:type="dxa"/>
            <w:noWrap w:val="0"/>
            <w:vAlign w:val="center"/>
          </w:tcPr>
          <w:p w14:paraId="1835CC12">
            <w:pPr>
              <w:spacing w:line="480" w:lineRule="auto"/>
              <w:jc w:val="center"/>
              <w:rPr>
                <w:rFonts w:hint="default" w:ascii="宋体" w:hAnsi="宋体" w:eastAsia="宋体" w:cs="宋体"/>
                <w:color w:val="000000"/>
                <w:sz w:val="28"/>
                <w:szCs w:val="28"/>
                <w:lang w:val="en-US" w:eastAsia="zh-CN"/>
              </w:rPr>
            </w:pPr>
          </w:p>
        </w:tc>
      </w:tr>
      <w:tr w14:paraId="68D109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90" w:type="dxa"/>
            <w:noWrap w:val="0"/>
            <w:vAlign w:val="center"/>
          </w:tcPr>
          <w:p w14:paraId="35F9C56E">
            <w:pPr>
              <w:spacing w:line="480" w:lineRule="auto"/>
              <w:jc w:val="center"/>
              <w:rPr>
                <w:rFonts w:hint="eastAsia" w:ascii="宋体" w:hAnsi="宋体" w:eastAsia="宋体" w:cs="宋体"/>
                <w:sz w:val="28"/>
                <w:szCs w:val="28"/>
                <w:lang w:val="de-DE"/>
              </w:rPr>
            </w:pPr>
          </w:p>
        </w:tc>
        <w:tc>
          <w:tcPr>
            <w:tcW w:w="930" w:type="dxa"/>
            <w:noWrap w:val="0"/>
            <w:vAlign w:val="center"/>
          </w:tcPr>
          <w:p w14:paraId="244BA298">
            <w:pPr>
              <w:spacing w:line="480" w:lineRule="auto"/>
              <w:jc w:val="center"/>
              <w:rPr>
                <w:rFonts w:hint="eastAsia" w:ascii="宋体" w:hAnsi="宋体" w:eastAsia="宋体" w:cs="宋体"/>
                <w:sz w:val="28"/>
                <w:szCs w:val="28"/>
                <w:lang w:val="de-DE"/>
              </w:rPr>
            </w:pPr>
          </w:p>
        </w:tc>
        <w:tc>
          <w:tcPr>
            <w:tcW w:w="999" w:type="dxa"/>
            <w:noWrap w:val="0"/>
            <w:vAlign w:val="center"/>
          </w:tcPr>
          <w:p w14:paraId="4DD1353E">
            <w:pPr>
              <w:spacing w:line="480" w:lineRule="auto"/>
              <w:jc w:val="center"/>
              <w:rPr>
                <w:rFonts w:hint="eastAsia" w:ascii="宋体" w:hAnsi="宋体" w:eastAsia="宋体" w:cs="宋体"/>
                <w:sz w:val="28"/>
                <w:szCs w:val="28"/>
                <w:lang w:val="de-DE"/>
              </w:rPr>
            </w:pPr>
          </w:p>
        </w:tc>
        <w:tc>
          <w:tcPr>
            <w:tcW w:w="1454" w:type="dxa"/>
            <w:noWrap w:val="0"/>
            <w:vAlign w:val="center"/>
          </w:tcPr>
          <w:p w14:paraId="255D0BB1">
            <w:pPr>
              <w:spacing w:line="480" w:lineRule="auto"/>
              <w:jc w:val="center"/>
              <w:rPr>
                <w:rFonts w:hint="eastAsia" w:ascii="宋体" w:hAnsi="宋体" w:eastAsia="宋体" w:cs="宋体"/>
                <w:color w:val="000000"/>
                <w:sz w:val="28"/>
                <w:szCs w:val="28"/>
              </w:rPr>
            </w:pPr>
          </w:p>
        </w:tc>
        <w:tc>
          <w:tcPr>
            <w:tcW w:w="1118" w:type="dxa"/>
            <w:noWrap w:val="0"/>
            <w:vAlign w:val="center"/>
          </w:tcPr>
          <w:p w14:paraId="70837932">
            <w:pPr>
              <w:spacing w:line="480" w:lineRule="auto"/>
              <w:jc w:val="center"/>
              <w:rPr>
                <w:rFonts w:hint="eastAsia" w:ascii="宋体" w:hAnsi="宋体" w:eastAsia="宋体" w:cs="宋体"/>
                <w:color w:val="000000"/>
                <w:sz w:val="28"/>
                <w:szCs w:val="28"/>
              </w:rPr>
            </w:pPr>
          </w:p>
        </w:tc>
        <w:tc>
          <w:tcPr>
            <w:tcW w:w="1037" w:type="dxa"/>
            <w:noWrap w:val="0"/>
            <w:vAlign w:val="center"/>
          </w:tcPr>
          <w:p w14:paraId="066EAD3E">
            <w:pPr>
              <w:spacing w:line="480" w:lineRule="auto"/>
              <w:jc w:val="center"/>
              <w:rPr>
                <w:rFonts w:hint="eastAsia" w:ascii="宋体" w:hAnsi="宋体" w:eastAsia="宋体" w:cs="宋体"/>
                <w:color w:val="000000"/>
                <w:sz w:val="28"/>
                <w:szCs w:val="28"/>
              </w:rPr>
            </w:pPr>
          </w:p>
        </w:tc>
        <w:tc>
          <w:tcPr>
            <w:tcW w:w="836" w:type="dxa"/>
            <w:noWrap w:val="0"/>
            <w:vAlign w:val="center"/>
          </w:tcPr>
          <w:p w14:paraId="166A1CB0">
            <w:pPr>
              <w:spacing w:line="480" w:lineRule="auto"/>
              <w:ind w:right="538" w:rightChars="192"/>
              <w:jc w:val="center"/>
              <w:rPr>
                <w:rFonts w:hint="eastAsia" w:ascii="宋体" w:hAnsi="宋体" w:eastAsia="宋体" w:cs="宋体"/>
                <w:color w:val="000000"/>
                <w:sz w:val="28"/>
                <w:szCs w:val="28"/>
              </w:rPr>
            </w:pPr>
          </w:p>
        </w:tc>
        <w:tc>
          <w:tcPr>
            <w:tcW w:w="1373" w:type="dxa"/>
            <w:noWrap w:val="0"/>
            <w:vAlign w:val="center"/>
          </w:tcPr>
          <w:p w14:paraId="6F27C90F">
            <w:pPr>
              <w:spacing w:line="480" w:lineRule="auto"/>
              <w:jc w:val="center"/>
              <w:rPr>
                <w:rFonts w:hint="eastAsia" w:ascii="宋体" w:hAnsi="宋体" w:eastAsia="宋体" w:cs="宋体"/>
                <w:color w:val="000000"/>
                <w:sz w:val="28"/>
                <w:szCs w:val="28"/>
              </w:rPr>
            </w:pPr>
            <w:r>
              <w:rPr>
                <w:rFonts w:hint="eastAsia" w:ascii="宋体" w:hAnsi="宋体" w:eastAsia="宋体" w:cs="宋体"/>
                <w:color w:val="000000"/>
                <w:sz w:val="28"/>
                <w:szCs w:val="28"/>
              </w:rPr>
              <w:t xml:space="preserve"> </w:t>
            </w:r>
          </w:p>
        </w:tc>
        <w:tc>
          <w:tcPr>
            <w:tcW w:w="900" w:type="dxa"/>
            <w:noWrap w:val="0"/>
            <w:vAlign w:val="center"/>
          </w:tcPr>
          <w:p w14:paraId="34D1BEB0">
            <w:pPr>
              <w:spacing w:line="480" w:lineRule="auto"/>
              <w:jc w:val="center"/>
              <w:rPr>
                <w:rFonts w:hint="eastAsia" w:ascii="宋体" w:hAnsi="宋体" w:eastAsia="宋体" w:cs="宋体"/>
                <w:color w:val="000000"/>
                <w:sz w:val="28"/>
                <w:szCs w:val="28"/>
              </w:rPr>
            </w:pPr>
          </w:p>
        </w:tc>
        <w:tc>
          <w:tcPr>
            <w:tcW w:w="1245" w:type="dxa"/>
            <w:noWrap w:val="0"/>
            <w:vAlign w:val="center"/>
          </w:tcPr>
          <w:p w14:paraId="24D5F0DF">
            <w:pPr>
              <w:spacing w:line="480" w:lineRule="auto"/>
              <w:jc w:val="center"/>
              <w:rPr>
                <w:rFonts w:hint="eastAsia" w:ascii="宋体" w:hAnsi="宋体" w:eastAsia="宋体" w:cs="宋体"/>
                <w:color w:val="000000"/>
                <w:sz w:val="28"/>
                <w:szCs w:val="28"/>
              </w:rPr>
            </w:pPr>
          </w:p>
        </w:tc>
        <w:tc>
          <w:tcPr>
            <w:tcW w:w="1291" w:type="dxa"/>
            <w:noWrap w:val="0"/>
            <w:vAlign w:val="center"/>
          </w:tcPr>
          <w:p w14:paraId="0CD7EFD5">
            <w:pPr>
              <w:spacing w:line="480" w:lineRule="auto"/>
              <w:jc w:val="center"/>
              <w:rPr>
                <w:rFonts w:hint="eastAsia" w:ascii="宋体" w:hAnsi="宋体" w:eastAsia="宋体" w:cs="宋体"/>
                <w:color w:val="000000"/>
                <w:sz w:val="28"/>
                <w:szCs w:val="28"/>
              </w:rPr>
            </w:pPr>
          </w:p>
        </w:tc>
        <w:tc>
          <w:tcPr>
            <w:tcW w:w="1163" w:type="dxa"/>
            <w:noWrap w:val="0"/>
            <w:vAlign w:val="center"/>
          </w:tcPr>
          <w:p w14:paraId="7496B34A">
            <w:pPr>
              <w:spacing w:line="480" w:lineRule="auto"/>
              <w:jc w:val="center"/>
              <w:rPr>
                <w:rFonts w:hint="eastAsia" w:ascii="宋体" w:hAnsi="宋体" w:eastAsia="宋体" w:cs="宋体"/>
                <w:color w:val="000000"/>
                <w:sz w:val="28"/>
                <w:szCs w:val="28"/>
              </w:rPr>
            </w:pPr>
          </w:p>
        </w:tc>
        <w:tc>
          <w:tcPr>
            <w:tcW w:w="1408" w:type="dxa"/>
            <w:noWrap w:val="0"/>
            <w:vAlign w:val="center"/>
          </w:tcPr>
          <w:p w14:paraId="25C1CBE6">
            <w:pPr>
              <w:spacing w:line="480" w:lineRule="auto"/>
              <w:jc w:val="center"/>
              <w:rPr>
                <w:rFonts w:hint="eastAsia" w:ascii="宋体" w:hAnsi="宋体" w:eastAsia="宋体" w:cs="宋体"/>
                <w:color w:val="000000"/>
                <w:sz w:val="28"/>
                <w:szCs w:val="28"/>
              </w:rPr>
            </w:pPr>
          </w:p>
        </w:tc>
        <w:tc>
          <w:tcPr>
            <w:tcW w:w="946" w:type="dxa"/>
            <w:noWrap w:val="0"/>
            <w:vAlign w:val="center"/>
          </w:tcPr>
          <w:p w14:paraId="6F2008E7">
            <w:pPr>
              <w:spacing w:line="480" w:lineRule="auto"/>
              <w:jc w:val="center"/>
              <w:rPr>
                <w:rFonts w:hint="eastAsia" w:ascii="宋体" w:hAnsi="宋体" w:eastAsia="宋体" w:cs="宋体"/>
                <w:color w:val="000000"/>
                <w:sz w:val="28"/>
                <w:szCs w:val="28"/>
              </w:rPr>
            </w:pPr>
          </w:p>
        </w:tc>
      </w:tr>
    </w:tbl>
    <w:p w14:paraId="144AB424">
      <w:pPr>
        <w:tabs>
          <w:tab w:val="left" w:pos="6300"/>
        </w:tabs>
        <w:snapToGrid w:val="0"/>
        <w:spacing w:line="312" w:lineRule="auto"/>
        <w:ind w:firstLine="4480" w:firstLineChars="1600"/>
        <w:rPr>
          <w:rFonts w:hint="eastAsia" w:ascii="宋体" w:hAnsi="宋体" w:eastAsia="宋体" w:cs="宋体"/>
          <w:sz w:val="28"/>
          <w:szCs w:val="28"/>
        </w:rPr>
      </w:pPr>
      <w:r>
        <w:rPr>
          <w:rFonts w:hint="eastAsia" w:ascii="宋体" w:hAnsi="宋体" w:eastAsia="宋体" w:cs="宋体"/>
          <w:sz w:val="28"/>
          <w:szCs w:val="28"/>
          <w:lang w:eastAsia="zh-CN"/>
        </w:rPr>
        <w:t>竞选</w:t>
      </w:r>
      <w:r>
        <w:rPr>
          <w:rFonts w:hint="eastAsia" w:ascii="宋体" w:hAnsi="宋体" w:eastAsia="宋体" w:cs="宋体"/>
          <w:sz w:val="28"/>
          <w:szCs w:val="28"/>
        </w:rPr>
        <w:t>人                                   法定代表人授权代表：</w:t>
      </w:r>
    </w:p>
    <w:p w14:paraId="7EACFBB0">
      <w:pPr>
        <w:tabs>
          <w:tab w:val="left" w:pos="6300"/>
        </w:tabs>
        <w:snapToGrid w:val="0"/>
        <w:spacing w:line="312" w:lineRule="auto"/>
        <w:ind w:firstLine="560" w:firstLineChars="20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w:t>
      </w:r>
      <w:r>
        <w:rPr>
          <w:rFonts w:hint="eastAsia" w:ascii="宋体" w:hAnsi="宋体" w:eastAsia="宋体" w:cs="宋体"/>
          <w:sz w:val="28"/>
          <w:szCs w:val="28"/>
          <w:lang w:eastAsia="zh-CN"/>
        </w:rPr>
        <w:t>竞选</w:t>
      </w:r>
      <w:r>
        <w:rPr>
          <w:rFonts w:hint="eastAsia" w:ascii="宋体" w:hAnsi="宋体" w:eastAsia="宋体" w:cs="宋体"/>
          <w:sz w:val="28"/>
          <w:szCs w:val="28"/>
        </w:rPr>
        <w:t>人公章）                               （签字或盖章）</w:t>
      </w:r>
    </w:p>
    <w:p w14:paraId="2A11019C">
      <w:pPr>
        <w:tabs>
          <w:tab w:val="left" w:pos="6300"/>
        </w:tabs>
        <w:snapToGrid w:val="0"/>
        <w:spacing w:line="312" w:lineRule="auto"/>
        <w:ind w:firstLine="560" w:firstLineChars="20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lang w:val="en-US" w:eastAsia="zh-CN"/>
        </w:rPr>
        <w:t xml:space="preserve">                                  </w:t>
      </w:r>
      <w:r>
        <w:rPr>
          <w:rFonts w:hint="eastAsia" w:ascii="宋体" w:hAnsi="宋体" w:eastAsia="宋体" w:cs="宋体"/>
          <w:sz w:val="28"/>
          <w:szCs w:val="28"/>
        </w:rPr>
        <w:t xml:space="preserve"> 年     月     日</w:t>
      </w:r>
    </w:p>
    <w:p w14:paraId="0CA0DE28">
      <w:pPr>
        <w:tabs>
          <w:tab w:val="left" w:pos="6300"/>
        </w:tabs>
        <w:snapToGrid w:val="0"/>
        <w:spacing w:line="312" w:lineRule="auto"/>
        <w:ind w:firstLine="560" w:firstLineChars="200"/>
        <w:rPr>
          <w:rFonts w:hint="eastAsia"/>
        </w:rPr>
        <w:sectPr>
          <w:footerReference r:id="rId10" w:type="default"/>
          <w:pgSz w:w="16840" w:h="11907" w:orient="landscape"/>
          <w:pgMar w:top="1304" w:right="1134" w:bottom="1191" w:left="1134" w:header="964" w:footer="992" w:gutter="0"/>
          <w:pgNumType w:fmt="numberInDash"/>
          <w:cols w:space="720" w:num="1"/>
          <w:docGrid w:linePitch="380" w:charSpace="0"/>
        </w:sectPr>
      </w:pPr>
      <w:r>
        <w:rPr>
          <w:rFonts w:hint="eastAsia" w:ascii="宋体" w:hAnsi="宋体" w:eastAsia="宋体" w:cs="宋体"/>
          <w:color w:val="auto"/>
          <w:sz w:val="28"/>
          <w:szCs w:val="28"/>
          <w:lang w:val="en-US" w:eastAsia="zh-CN"/>
        </w:rPr>
        <w:t>注：每人份价格需要包含除检测试剂外的定标液、质控品、清洗液、反应杯等其他所有配套耗材。如该项检测物价收费100元，物价收费折扣比例30%，则结算30元给成交供应商，物价下调后，结算金额同折扣比例一并下调。</w:t>
      </w:r>
    </w:p>
    <w:p w14:paraId="0965F792">
      <w:pPr>
        <w:pStyle w:val="22"/>
        <w:rPr>
          <w:rFonts w:hint="eastAsia"/>
        </w:rPr>
      </w:pPr>
    </w:p>
    <w:p w14:paraId="2BF56AD7">
      <w:pPr>
        <w:pStyle w:val="57"/>
        <w:ind w:firstLine="0"/>
        <w:rPr>
          <w:rFonts w:hint="default" w:ascii="宋体" w:hAnsi="宋体" w:eastAsia="宋体" w:cs="宋体"/>
          <w:b/>
          <w:bCs/>
          <w:color w:val="000000"/>
          <w:sz w:val="24"/>
          <w:szCs w:val="24"/>
          <w:lang w:val="en-US"/>
        </w:rPr>
      </w:pPr>
      <w:bookmarkStart w:id="172" w:name="OLE_LINK15"/>
      <w:r>
        <w:rPr>
          <w:rFonts w:hint="eastAsia" w:ascii="宋体" w:hAnsi="宋体" w:eastAsia="宋体" w:cs="宋体"/>
          <w:kern w:val="2"/>
          <w:sz w:val="24"/>
          <w:szCs w:val="24"/>
          <w:lang w:val="en-US" w:eastAsia="zh-CN" w:bidi="ar-SA"/>
        </w:rPr>
        <w:t>（</w:t>
      </w:r>
      <w:r>
        <w:rPr>
          <w:rFonts w:hint="eastAsia" w:eastAsia="宋体" w:cs="宋体"/>
          <w:kern w:val="2"/>
          <w:sz w:val="24"/>
          <w:szCs w:val="24"/>
          <w:lang w:val="en-US" w:eastAsia="zh-CN" w:bidi="ar-SA"/>
        </w:rPr>
        <w:t>二</w:t>
      </w:r>
      <w:r>
        <w:rPr>
          <w:rFonts w:hint="eastAsia" w:ascii="宋体" w:hAnsi="宋体" w:eastAsia="宋体" w:cs="宋体"/>
          <w:kern w:val="2"/>
          <w:sz w:val="24"/>
          <w:szCs w:val="24"/>
          <w:lang w:val="en-US" w:eastAsia="zh-CN" w:bidi="ar-SA"/>
        </w:rPr>
        <w:t>）</w:t>
      </w:r>
      <w:bookmarkStart w:id="173" w:name="OLE_LINK11"/>
      <w:r>
        <w:rPr>
          <w:rFonts w:hint="eastAsia" w:ascii="宋体" w:hAnsi="宋体" w:eastAsia="宋体" w:cs="宋体"/>
          <w:kern w:val="2"/>
          <w:sz w:val="24"/>
          <w:szCs w:val="24"/>
          <w:lang w:val="en-US" w:eastAsia="zh-CN" w:bidi="ar-SA"/>
        </w:rPr>
        <w:t>专用设备报价表</w:t>
      </w:r>
      <w:bookmarkEnd w:id="172"/>
      <w:bookmarkEnd w:id="173"/>
      <w:bookmarkStart w:id="174" w:name="OLE_LINK18"/>
      <w:r>
        <w:rPr>
          <w:rFonts w:hint="eastAsia" w:eastAsia="宋体" w:cs="宋体"/>
          <w:kern w:val="2"/>
          <w:sz w:val="24"/>
          <w:szCs w:val="24"/>
          <w:lang w:val="en-US" w:eastAsia="zh-CN" w:bidi="ar-SA"/>
        </w:rPr>
        <w:t>(如有)</w:t>
      </w:r>
    </w:p>
    <w:bookmarkEnd w:id="174"/>
    <w:p w14:paraId="13ECB209">
      <w:pPr>
        <w:rPr>
          <w:rFonts w:hint="eastAsia"/>
          <w:color w:val="000000"/>
        </w:rPr>
      </w:pPr>
    </w:p>
    <w:tbl>
      <w:tblPr>
        <w:tblStyle w:val="59"/>
        <w:tblW w:w="5000" w:type="pct"/>
        <w:tblInd w:w="0" w:type="dxa"/>
        <w:tblLayout w:type="autofit"/>
        <w:tblCellMar>
          <w:top w:w="0" w:type="dxa"/>
          <w:left w:w="108" w:type="dxa"/>
          <w:bottom w:w="0" w:type="dxa"/>
          <w:right w:w="108" w:type="dxa"/>
        </w:tblCellMar>
      </w:tblPr>
      <w:tblGrid>
        <w:gridCol w:w="906"/>
        <w:gridCol w:w="1021"/>
        <w:gridCol w:w="1125"/>
        <w:gridCol w:w="892"/>
        <w:gridCol w:w="845"/>
        <w:gridCol w:w="1040"/>
        <w:gridCol w:w="1411"/>
        <w:gridCol w:w="1928"/>
        <w:gridCol w:w="460"/>
      </w:tblGrid>
      <w:tr w14:paraId="3ABC98D3">
        <w:tblPrEx>
          <w:tblCellMar>
            <w:top w:w="0" w:type="dxa"/>
            <w:left w:w="108" w:type="dxa"/>
            <w:bottom w:w="0" w:type="dxa"/>
            <w:right w:w="108" w:type="dxa"/>
          </w:tblCellMar>
        </w:tblPrEx>
        <w:trPr>
          <w:trHeight w:val="1020" w:hRule="atLeast"/>
        </w:trPr>
        <w:tc>
          <w:tcPr>
            <w:tcW w:w="5000" w:type="pct"/>
            <w:gridSpan w:val="9"/>
            <w:tcBorders>
              <w:top w:val="nil"/>
              <w:left w:val="nil"/>
              <w:bottom w:val="nil"/>
              <w:right w:val="nil"/>
            </w:tcBorders>
            <w:noWrap/>
            <w:vAlign w:val="center"/>
          </w:tcPr>
          <w:p w14:paraId="320AF735">
            <w:pPr>
              <w:widowControl/>
              <w:jc w:val="center"/>
              <w:textAlignment w:val="center"/>
              <w:rPr>
                <w:rFonts w:hint="eastAsia" w:ascii="宋体" w:hAnsi="宋体" w:cs="宋体"/>
                <w:b/>
                <w:bCs/>
                <w:color w:val="000000"/>
                <w:sz w:val="36"/>
                <w:szCs w:val="36"/>
              </w:rPr>
            </w:pPr>
            <w:bookmarkStart w:id="175" w:name="OLE_LINK16"/>
            <w:r>
              <w:rPr>
                <w:rFonts w:hint="eastAsia" w:ascii="宋体" w:hAnsi="宋体" w:cs="宋体"/>
                <w:b/>
                <w:bCs/>
                <w:color w:val="000000"/>
                <w:kern w:val="0"/>
                <w:sz w:val="36"/>
                <w:szCs w:val="36"/>
                <w:lang w:eastAsia="zh-CN" w:bidi="ar"/>
              </w:rPr>
              <w:t>耗材</w:t>
            </w:r>
            <w:r>
              <w:rPr>
                <w:rFonts w:hint="eastAsia" w:ascii="宋体" w:hAnsi="宋体" w:cs="宋体"/>
                <w:b/>
                <w:bCs/>
                <w:color w:val="000000"/>
                <w:kern w:val="0"/>
                <w:sz w:val="36"/>
                <w:szCs w:val="36"/>
                <w:lang w:bidi="ar"/>
              </w:rPr>
              <w:t>配套医用</w:t>
            </w:r>
            <w:r>
              <w:rPr>
                <w:rFonts w:hint="eastAsia" w:ascii="宋体" w:hAnsi="宋体" w:cs="宋体"/>
                <w:b/>
                <w:bCs/>
                <w:color w:val="000000"/>
                <w:kern w:val="0"/>
                <w:sz w:val="36"/>
                <w:szCs w:val="36"/>
                <w:lang w:eastAsia="zh-CN" w:bidi="ar"/>
              </w:rPr>
              <w:t>设备</w:t>
            </w:r>
            <w:r>
              <w:rPr>
                <w:rStyle w:val="225"/>
                <w:rFonts w:hint="default"/>
                <w:lang w:bidi="ar"/>
              </w:rPr>
              <w:t>报价表</w:t>
            </w:r>
            <w:bookmarkEnd w:id="175"/>
          </w:p>
        </w:tc>
      </w:tr>
      <w:tr w14:paraId="55C9D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45A78364">
            <w:pPr>
              <w:spacing w:line="400" w:lineRule="exact"/>
              <w:jc w:val="center"/>
              <w:rPr>
                <w:rFonts w:ascii="楷体" w:hAnsi="楷体" w:eastAsia="楷体"/>
                <w:color w:val="000000"/>
                <w:szCs w:val="28"/>
              </w:rPr>
            </w:pPr>
            <w:r>
              <w:rPr>
                <w:rFonts w:hint="eastAsia" w:ascii="楷体" w:hAnsi="楷体" w:eastAsia="楷体"/>
                <w:color w:val="000000"/>
                <w:szCs w:val="28"/>
              </w:rPr>
              <w:t>序号</w:t>
            </w:r>
          </w:p>
        </w:tc>
        <w:tc>
          <w:tcPr>
            <w:tcW w:w="530" w:type="pct"/>
            <w:noWrap w:val="0"/>
            <w:vAlign w:val="center"/>
          </w:tcPr>
          <w:p w14:paraId="7CE86A54">
            <w:pPr>
              <w:spacing w:line="400" w:lineRule="exact"/>
              <w:jc w:val="center"/>
              <w:rPr>
                <w:rFonts w:ascii="楷体" w:hAnsi="楷体" w:eastAsia="楷体"/>
                <w:color w:val="000000"/>
                <w:szCs w:val="28"/>
              </w:rPr>
            </w:pPr>
            <w:r>
              <w:rPr>
                <w:rFonts w:hint="eastAsia" w:ascii="楷体" w:hAnsi="楷体" w:eastAsia="楷体"/>
                <w:color w:val="000000"/>
                <w:szCs w:val="28"/>
              </w:rPr>
              <w:t>品名</w:t>
            </w:r>
          </w:p>
        </w:tc>
        <w:tc>
          <w:tcPr>
            <w:tcW w:w="584" w:type="pct"/>
            <w:noWrap w:val="0"/>
            <w:vAlign w:val="center"/>
          </w:tcPr>
          <w:p w14:paraId="7DCE8D1A">
            <w:pPr>
              <w:spacing w:line="400" w:lineRule="exact"/>
              <w:jc w:val="center"/>
              <w:rPr>
                <w:rFonts w:ascii="楷体" w:hAnsi="楷体" w:eastAsia="楷体"/>
                <w:color w:val="000000"/>
                <w:szCs w:val="28"/>
              </w:rPr>
            </w:pPr>
            <w:r>
              <w:rPr>
                <w:rFonts w:hint="eastAsia" w:ascii="楷体" w:hAnsi="楷体" w:eastAsia="楷体"/>
                <w:color w:val="000000"/>
                <w:szCs w:val="28"/>
              </w:rPr>
              <w:t>厂家</w:t>
            </w:r>
          </w:p>
        </w:tc>
        <w:tc>
          <w:tcPr>
            <w:tcW w:w="463" w:type="pct"/>
            <w:noWrap w:val="0"/>
            <w:vAlign w:val="center"/>
          </w:tcPr>
          <w:p w14:paraId="4505A9CC">
            <w:pPr>
              <w:spacing w:line="400" w:lineRule="exact"/>
              <w:jc w:val="center"/>
              <w:rPr>
                <w:rFonts w:ascii="楷体" w:hAnsi="楷体" w:eastAsia="楷体"/>
                <w:color w:val="000000"/>
                <w:szCs w:val="28"/>
              </w:rPr>
            </w:pPr>
            <w:r>
              <w:rPr>
                <w:rFonts w:hint="eastAsia" w:ascii="楷体" w:hAnsi="楷体" w:eastAsia="楷体"/>
                <w:color w:val="000000"/>
                <w:szCs w:val="28"/>
              </w:rPr>
              <w:t>型号</w:t>
            </w:r>
          </w:p>
        </w:tc>
        <w:tc>
          <w:tcPr>
            <w:tcW w:w="439" w:type="pct"/>
            <w:noWrap w:val="0"/>
            <w:vAlign w:val="center"/>
          </w:tcPr>
          <w:p w14:paraId="632AF01C">
            <w:pPr>
              <w:spacing w:line="400" w:lineRule="exact"/>
              <w:jc w:val="center"/>
              <w:rPr>
                <w:rFonts w:ascii="楷体" w:hAnsi="楷体" w:eastAsia="楷体"/>
                <w:color w:val="000000"/>
                <w:szCs w:val="28"/>
              </w:rPr>
            </w:pPr>
            <w:r>
              <w:rPr>
                <w:rFonts w:hint="eastAsia" w:ascii="楷体" w:hAnsi="楷体" w:eastAsia="楷体"/>
                <w:color w:val="000000"/>
                <w:szCs w:val="28"/>
              </w:rPr>
              <w:t>产地</w:t>
            </w:r>
          </w:p>
        </w:tc>
        <w:tc>
          <w:tcPr>
            <w:tcW w:w="540" w:type="pct"/>
            <w:noWrap w:val="0"/>
            <w:vAlign w:val="center"/>
          </w:tcPr>
          <w:p w14:paraId="7737076F">
            <w:pPr>
              <w:spacing w:line="400" w:lineRule="exact"/>
              <w:jc w:val="center"/>
              <w:rPr>
                <w:rFonts w:ascii="楷体" w:hAnsi="楷体" w:eastAsia="楷体"/>
                <w:color w:val="000000"/>
                <w:szCs w:val="28"/>
              </w:rPr>
            </w:pPr>
            <w:r>
              <w:rPr>
                <w:rFonts w:hint="eastAsia" w:ascii="楷体" w:hAnsi="楷体" w:eastAsia="楷体"/>
                <w:color w:val="000000"/>
                <w:szCs w:val="28"/>
              </w:rPr>
              <w:t>数量</w:t>
            </w:r>
          </w:p>
        </w:tc>
        <w:tc>
          <w:tcPr>
            <w:tcW w:w="733" w:type="pct"/>
            <w:noWrap w:val="0"/>
            <w:vAlign w:val="center"/>
          </w:tcPr>
          <w:p w14:paraId="4B62F868">
            <w:pPr>
              <w:spacing w:line="400" w:lineRule="exact"/>
              <w:jc w:val="center"/>
              <w:rPr>
                <w:rFonts w:ascii="楷体" w:hAnsi="楷体" w:eastAsia="楷体"/>
                <w:color w:val="000000"/>
                <w:szCs w:val="28"/>
              </w:rPr>
            </w:pPr>
            <w:r>
              <w:rPr>
                <w:rFonts w:hint="eastAsia" w:ascii="楷体" w:hAnsi="楷体" w:eastAsia="楷体"/>
                <w:color w:val="000000"/>
                <w:szCs w:val="28"/>
              </w:rPr>
              <w:t>单价</w:t>
            </w:r>
          </w:p>
          <w:p w14:paraId="4C9281C8">
            <w:pPr>
              <w:spacing w:line="400" w:lineRule="exact"/>
              <w:jc w:val="center"/>
              <w:rPr>
                <w:rFonts w:ascii="楷体" w:hAnsi="楷体" w:eastAsia="楷体"/>
                <w:color w:val="000000"/>
                <w:szCs w:val="28"/>
              </w:rPr>
            </w:pPr>
            <w:r>
              <w:rPr>
                <w:rFonts w:hint="eastAsia" w:ascii="楷体" w:hAnsi="楷体" w:eastAsia="楷体"/>
                <w:color w:val="000000"/>
                <w:szCs w:val="28"/>
              </w:rPr>
              <w:t>（万元）</w:t>
            </w:r>
          </w:p>
        </w:tc>
        <w:tc>
          <w:tcPr>
            <w:tcW w:w="999" w:type="pct"/>
            <w:noWrap w:val="0"/>
            <w:vAlign w:val="center"/>
          </w:tcPr>
          <w:p w14:paraId="34611C22">
            <w:pPr>
              <w:spacing w:line="400" w:lineRule="exact"/>
              <w:jc w:val="center"/>
              <w:rPr>
                <w:rFonts w:ascii="楷体" w:hAnsi="楷体" w:eastAsia="楷体"/>
                <w:color w:val="000000"/>
                <w:szCs w:val="28"/>
              </w:rPr>
            </w:pPr>
            <w:r>
              <w:rPr>
                <w:rFonts w:hint="eastAsia" w:ascii="楷体" w:hAnsi="楷体" w:eastAsia="楷体"/>
                <w:color w:val="000000"/>
                <w:szCs w:val="28"/>
              </w:rPr>
              <w:t>合计</w:t>
            </w:r>
          </w:p>
          <w:p w14:paraId="298769B6">
            <w:pPr>
              <w:spacing w:line="400" w:lineRule="exact"/>
              <w:jc w:val="center"/>
              <w:rPr>
                <w:rFonts w:ascii="楷体" w:hAnsi="楷体" w:eastAsia="楷体"/>
                <w:color w:val="000000"/>
                <w:szCs w:val="28"/>
              </w:rPr>
            </w:pPr>
            <w:r>
              <w:rPr>
                <w:rFonts w:hint="eastAsia" w:ascii="楷体" w:hAnsi="楷体" w:eastAsia="楷体"/>
                <w:color w:val="000000"/>
                <w:szCs w:val="28"/>
              </w:rPr>
              <w:t>（万元）</w:t>
            </w:r>
          </w:p>
        </w:tc>
      </w:tr>
      <w:tr w14:paraId="297CCA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15489457">
            <w:pPr>
              <w:spacing w:line="400" w:lineRule="exact"/>
              <w:jc w:val="center"/>
              <w:rPr>
                <w:rFonts w:ascii="楷体" w:hAnsi="楷体" w:eastAsia="楷体"/>
                <w:color w:val="000000"/>
                <w:szCs w:val="28"/>
              </w:rPr>
            </w:pPr>
          </w:p>
        </w:tc>
        <w:tc>
          <w:tcPr>
            <w:tcW w:w="530" w:type="pct"/>
            <w:noWrap w:val="0"/>
            <w:vAlign w:val="center"/>
          </w:tcPr>
          <w:p w14:paraId="3739F94B">
            <w:pPr>
              <w:spacing w:line="400" w:lineRule="exact"/>
              <w:jc w:val="center"/>
              <w:rPr>
                <w:rFonts w:ascii="楷体" w:hAnsi="楷体" w:eastAsia="楷体"/>
                <w:color w:val="000000"/>
                <w:szCs w:val="28"/>
              </w:rPr>
            </w:pPr>
          </w:p>
        </w:tc>
        <w:tc>
          <w:tcPr>
            <w:tcW w:w="584" w:type="pct"/>
            <w:noWrap w:val="0"/>
            <w:vAlign w:val="top"/>
          </w:tcPr>
          <w:p w14:paraId="1DACB6CF">
            <w:pPr>
              <w:spacing w:line="400" w:lineRule="exact"/>
              <w:jc w:val="center"/>
              <w:rPr>
                <w:rFonts w:ascii="楷体" w:hAnsi="楷体" w:eastAsia="楷体"/>
                <w:color w:val="000000"/>
                <w:szCs w:val="28"/>
              </w:rPr>
            </w:pPr>
          </w:p>
        </w:tc>
        <w:tc>
          <w:tcPr>
            <w:tcW w:w="463" w:type="pct"/>
            <w:noWrap w:val="0"/>
            <w:vAlign w:val="center"/>
          </w:tcPr>
          <w:p w14:paraId="6CAB861E">
            <w:pPr>
              <w:spacing w:line="400" w:lineRule="exact"/>
              <w:jc w:val="center"/>
              <w:rPr>
                <w:rFonts w:ascii="楷体" w:hAnsi="楷体" w:eastAsia="楷体"/>
                <w:color w:val="000000"/>
                <w:szCs w:val="28"/>
              </w:rPr>
            </w:pPr>
          </w:p>
        </w:tc>
        <w:tc>
          <w:tcPr>
            <w:tcW w:w="439" w:type="pct"/>
            <w:noWrap w:val="0"/>
            <w:vAlign w:val="center"/>
          </w:tcPr>
          <w:p w14:paraId="77BDE858">
            <w:pPr>
              <w:spacing w:line="400" w:lineRule="exact"/>
              <w:jc w:val="center"/>
              <w:rPr>
                <w:rFonts w:ascii="楷体" w:hAnsi="楷体" w:eastAsia="楷体"/>
                <w:color w:val="000000"/>
                <w:szCs w:val="28"/>
              </w:rPr>
            </w:pPr>
          </w:p>
        </w:tc>
        <w:tc>
          <w:tcPr>
            <w:tcW w:w="540" w:type="pct"/>
            <w:noWrap w:val="0"/>
            <w:vAlign w:val="center"/>
          </w:tcPr>
          <w:p w14:paraId="6F344FCA">
            <w:pPr>
              <w:spacing w:line="400" w:lineRule="exact"/>
              <w:jc w:val="center"/>
              <w:rPr>
                <w:rFonts w:ascii="楷体" w:hAnsi="楷体" w:eastAsia="楷体"/>
                <w:color w:val="000000"/>
                <w:szCs w:val="28"/>
              </w:rPr>
            </w:pPr>
          </w:p>
        </w:tc>
        <w:tc>
          <w:tcPr>
            <w:tcW w:w="733" w:type="pct"/>
            <w:noWrap w:val="0"/>
            <w:vAlign w:val="center"/>
          </w:tcPr>
          <w:p w14:paraId="38EDE13C">
            <w:pPr>
              <w:spacing w:line="400" w:lineRule="exact"/>
              <w:jc w:val="center"/>
              <w:rPr>
                <w:rFonts w:ascii="楷体" w:hAnsi="楷体" w:eastAsia="楷体"/>
                <w:color w:val="000000"/>
                <w:szCs w:val="28"/>
              </w:rPr>
            </w:pPr>
          </w:p>
        </w:tc>
        <w:tc>
          <w:tcPr>
            <w:tcW w:w="999" w:type="pct"/>
            <w:noWrap w:val="0"/>
            <w:vAlign w:val="center"/>
          </w:tcPr>
          <w:p w14:paraId="708CE11E">
            <w:pPr>
              <w:spacing w:line="400" w:lineRule="exact"/>
              <w:jc w:val="center"/>
              <w:rPr>
                <w:rFonts w:ascii="楷体" w:hAnsi="楷体" w:eastAsia="楷体"/>
                <w:color w:val="000000"/>
                <w:szCs w:val="28"/>
              </w:rPr>
            </w:pPr>
          </w:p>
        </w:tc>
      </w:tr>
      <w:tr w14:paraId="72264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618206B7">
            <w:pPr>
              <w:spacing w:line="400" w:lineRule="exact"/>
              <w:jc w:val="center"/>
              <w:rPr>
                <w:rFonts w:ascii="楷体" w:hAnsi="楷体" w:eastAsia="楷体"/>
                <w:color w:val="000000"/>
                <w:szCs w:val="28"/>
              </w:rPr>
            </w:pPr>
          </w:p>
        </w:tc>
        <w:tc>
          <w:tcPr>
            <w:tcW w:w="530" w:type="pct"/>
            <w:noWrap w:val="0"/>
            <w:vAlign w:val="center"/>
          </w:tcPr>
          <w:p w14:paraId="4B8A4AE1">
            <w:pPr>
              <w:spacing w:line="400" w:lineRule="exact"/>
              <w:jc w:val="center"/>
              <w:rPr>
                <w:rFonts w:ascii="楷体" w:hAnsi="楷体" w:eastAsia="楷体"/>
                <w:color w:val="000000"/>
                <w:szCs w:val="28"/>
              </w:rPr>
            </w:pPr>
          </w:p>
        </w:tc>
        <w:tc>
          <w:tcPr>
            <w:tcW w:w="584" w:type="pct"/>
            <w:noWrap w:val="0"/>
            <w:vAlign w:val="top"/>
          </w:tcPr>
          <w:p w14:paraId="1525C795">
            <w:pPr>
              <w:spacing w:line="400" w:lineRule="exact"/>
              <w:jc w:val="center"/>
              <w:rPr>
                <w:rFonts w:ascii="楷体" w:hAnsi="楷体" w:eastAsia="楷体"/>
                <w:color w:val="000000"/>
                <w:szCs w:val="28"/>
              </w:rPr>
            </w:pPr>
          </w:p>
        </w:tc>
        <w:tc>
          <w:tcPr>
            <w:tcW w:w="463" w:type="pct"/>
            <w:noWrap w:val="0"/>
            <w:vAlign w:val="center"/>
          </w:tcPr>
          <w:p w14:paraId="34F343ED">
            <w:pPr>
              <w:spacing w:line="400" w:lineRule="exact"/>
              <w:jc w:val="center"/>
              <w:rPr>
                <w:rFonts w:ascii="楷体" w:hAnsi="楷体" w:eastAsia="楷体"/>
                <w:color w:val="000000"/>
                <w:szCs w:val="28"/>
              </w:rPr>
            </w:pPr>
          </w:p>
        </w:tc>
        <w:tc>
          <w:tcPr>
            <w:tcW w:w="439" w:type="pct"/>
            <w:noWrap w:val="0"/>
            <w:vAlign w:val="center"/>
          </w:tcPr>
          <w:p w14:paraId="5DAFCD86">
            <w:pPr>
              <w:spacing w:line="400" w:lineRule="exact"/>
              <w:jc w:val="center"/>
              <w:rPr>
                <w:rFonts w:ascii="楷体" w:hAnsi="楷体" w:eastAsia="楷体"/>
                <w:color w:val="000000"/>
                <w:szCs w:val="28"/>
              </w:rPr>
            </w:pPr>
          </w:p>
        </w:tc>
        <w:tc>
          <w:tcPr>
            <w:tcW w:w="540" w:type="pct"/>
            <w:noWrap w:val="0"/>
            <w:vAlign w:val="center"/>
          </w:tcPr>
          <w:p w14:paraId="57FBDD41">
            <w:pPr>
              <w:spacing w:line="400" w:lineRule="exact"/>
              <w:jc w:val="center"/>
              <w:rPr>
                <w:rFonts w:ascii="楷体" w:hAnsi="楷体" w:eastAsia="楷体"/>
                <w:color w:val="000000"/>
                <w:szCs w:val="28"/>
              </w:rPr>
            </w:pPr>
          </w:p>
        </w:tc>
        <w:tc>
          <w:tcPr>
            <w:tcW w:w="733" w:type="pct"/>
            <w:noWrap w:val="0"/>
            <w:vAlign w:val="center"/>
          </w:tcPr>
          <w:p w14:paraId="1D4E97F5">
            <w:pPr>
              <w:spacing w:line="400" w:lineRule="exact"/>
              <w:jc w:val="center"/>
              <w:rPr>
                <w:rFonts w:ascii="楷体" w:hAnsi="楷体" w:eastAsia="楷体"/>
                <w:color w:val="000000"/>
                <w:szCs w:val="28"/>
              </w:rPr>
            </w:pPr>
          </w:p>
        </w:tc>
        <w:tc>
          <w:tcPr>
            <w:tcW w:w="999" w:type="pct"/>
            <w:noWrap w:val="0"/>
            <w:vAlign w:val="center"/>
          </w:tcPr>
          <w:p w14:paraId="22D0EC45">
            <w:pPr>
              <w:spacing w:line="400" w:lineRule="exact"/>
              <w:jc w:val="center"/>
              <w:rPr>
                <w:rFonts w:ascii="楷体" w:hAnsi="楷体" w:eastAsia="楷体"/>
                <w:color w:val="000000"/>
                <w:szCs w:val="28"/>
              </w:rPr>
            </w:pPr>
          </w:p>
        </w:tc>
      </w:tr>
      <w:tr w14:paraId="5AD1D0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A014EAC">
            <w:pPr>
              <w:spacing w:line="400" w:lineRule="exact"/>
              <w:jc w:val="center"/>
              <w:rPr>
                <w:rFonts w:ascii="楷体" w:hAnsi="楷体" w:eastAsia="楷体"/>
                <w:color w:val="000000"/>
                <w:szCs w:val="28"/>
              </w:rPr>
            </w:pPr>
          </w:p>
        </w:tc>
        <w:tc>
          <w:tcPr>
            <w:tcW w:w="530" w:type="pct"/>
            <w:noWrap w:val="0"/>
            <w:vAlign w:val="center"/>
          </w:tcPr>
          <w:p w14:paraId="7EBF2AE0">
            <w:pPr>
              <w:spacing w:line="400" w:lineRule="exact"/>
              <w:jc w:val="center"/>
              <w:rPr>
                <w:rFonts w:ascii="楷体" w:hAnsi="楷体" w:eastAsia="楷体"/>
                <w:color w:val="000000"/>
                <w:szCs w:val="28"/>
              </w:rPr>
            </w:pPr>
          </w:p>
        </w:tc>
        <w:tc>
          <w:tcPr>
            <w:tcW w:w="584" w:type="pct"/>
            <w:noWrap w:val="0"/>
            <w:vAlign w:val="top"/>
          </w:tcPr>
          <w:p w14:paraId="237CC162">
            <w:pPr>
              <w:spacing w:line="400" w:lineRule="exact"/>
              <w:jc w:val="center"/>
              <w:rPr>
                <w:rFonts w:ascii="楷体" w:hAnsi="楷体" w:eastAsia="楷体"/>
                <w:color w:val="000000"/>
                <w:szCs w:val="28"/>
              </w:rPr>
            </w:pPr>
          </w:p>
        </w:tc>
        <w:tc>
          <w:tcPr>
            <w:tcW w:w="463" w:type="pct"/>
            <w:noWrap w:val="0"/>
            <w:vAlign w:val="center"/>
          </w:tcPr>
          <w:p w14:paraId="687ADA45">
            <w:pPr>
              <w:spacing w:line="400" w:lineRule="exact"/>
              <w:jc w:val="center"/>
              <w:rPr>
                <w:rFonts w:ascii="楷体" w:hAnsi="楷体" w:eastAsia="楷体"/>
                <w:color w:val="000000"/>
                <w:szCs w:val="28"/>
              </w:rPr>
            </w:pPr>
          </w:p>
        </w:tc>
        <w:tc>
          <w:tcPr>
            <w:tcW w:w="439" w:type="pct"/>
            <w:noWrap w:val="0"/>
            <w:vAlign w:val="center"/>
          </w:tcPr>
          <w:p w14:paraId="311C2246">
            <w:pPr>
              <w:spacing w:line="400" w:lineRule="exact"/>
              <w:jc w:val="center"/>
              <w:rPr>
                <w:rFonts w:ascii="楷体" w:hAnsi="楷体" w:eastAsia="楷体"/>
                <w:color w:val="000000"/>
                <w:szCs w:val="28"/>
              </w:rPr>
            </w:pPr>
          </w:p>
        </w:tc>
        <w:tc>
          <w:tcPr>
            <w:tcW w:w="540" w:type="pct"/>
            <w:noWrap w:val="0"/>
            <w:vAlign w:val="center"/>
          </w:tcPr>
          <w:p w14:paraId="51762238">
            <w:pPr>
              <w:spacing w:line="400" w:lineRule="exact"/>
              <w:jc w:val="center"/>
              <w:rPr>
                <w:rFonts w:ascii="楷体" w:hAnsi="楷体" w:eastAsia="楷体"/>
                <w:color w:val="000000"/>
                <w:szCs w:val="28"/>
              </w:rPr>
            </w:pPr>
          </w:p>
        </w:tc>
        <w:tc>
          <w:tcPr>
            <w:tcW w:w="733" w:type="pct"/>
            <w:noWrap w:val="0"/>
            <w:vAlign w:val="center"/>
          </w:tcPr>
          <w:p w14:paraId="076A43B4">
            <w:pPr>
              <w:spacing w:line="400" w:lineRule="exact"/>
              <w:jc w:val="center"/>
              <w:rPr>
                <w:rFonts w:ascii="楷体" w:hAnsi="楷体" w:eastAsia="楷体"/>
                <w:color w:val="000000"/>
                <w:szCs w:val="28"/>
              </w:rPr>
            </w:pPr>
          </w:p>
        </w:tc>
        <w:tc>
          <w:tcPr>
            <w:tcW w:w="999" w:type="pct"/>
            <w:noWrap w:val="0"/>
            <w:vAlign w:val="center"/>
          </w:tcPr>
          <w:p w14:paraId="73CAD5F3">
            <w:pPr>
              <w:spacing w:line="400" w:lineRule="exact"/>
              <w:jc w:val="center"/>
              <w:rPr>
                <w:rFonts w:ascii="楷体" w:hAnsi="楷体" w:eastAsia="楷体"/>
                <w:color w:val="000000"/>
                <w:szCs w:val="28"/>
              </w:rPr>
            </w:pPr>
          </w:p>
        </w:tc>
      </w:tr>
      <w:tr w14:paraId="2DD3CD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7FEE1BBB">
            <w:pPr>
              <w:spacing w:line="400" w:lineRule="exact"/>
              <w:jc w:val="center"/>
              <w:rPr>
                <w:rFonts w:ascii="楷体" w:hAnsi="楷体" w:eastAsia="楷体"/>
                <w:color w:val="000000"/>
                <w:szCs w:val="28"/>
              </w:rPr>
            </w:pPr>
          </w:p>
        </w:tc>
        <w:tc>
          <w:tcPr>
            <w:tcW w:w="530" w:type="pct"/>
            <w:noWrap w:val="0"/>
            <w:vAlign w:val="center"/>
          </w:tcPr>
          <w:p w14:paraId="1F4456AD">
            <w:pPr>
              <w:spacing w:line="400" w:lineRule="exact"/>
              <w:jc w:val="center"/>
              <w:rPr>
                <w:rFonts w:ascii="楷体" w:hAnsi="楷体" w:eastAsia="楷体"/>
                <w:color w:val="000000"/>
                <w:szCs w:val="28"/>
              </w:rPr>
            </w:pPr>
          </w:p>
        </w:tc>
        <w:tc>
          <w:tcPr>
            <w:tcW w:w="584" w:type="pct"/>
            <w:noWrap w:val="0"/>
            <w:vAlign w:val="top"/>
          </w:tcPr>
          <w:p w14:paraId="124998BF">
            <w:pPr>
              <w:spacing w:line="400" w:lineRule="exact"/>
              <w:jc w:val="center"/>
              <w:rPr>
                <w:rFonts w:ascii="楷体" w:hAnsi="楷体" w:eastAsia="楷体"/>
                <w:color w:val="000000"/>
                <w:szCs w:val="28"/>
              </w:rPr>
            </w:pPr>
          </w:p>
        </w:tc>
        <w:tc>
          <w:tcPr>
            <w:tcW w:w="463" w:type="pct"/>
            <w:noWrap w:val="0"/>
            <w:vAlign w:val="center"/>
          </w:tcPr>
          <w:p w14:paraId="2C612D08">
            <w:pPr>
              <w:spacing w:line="400" w:lineRule="exact"/>
              <w:jc w:val="center"/>
              <w:rPr>
                <w:rFonts w:ascii="楷体" w:hAnsi="楷体" w:eastAsia="楷体"/>
                <w:color w:val="000000"/>
                <w:szCs w:val="28"/>
              </w:rPr>
            </w:pPr>
          </w:p>
        </w:tc>
        <w:tc>
          <w:tcPr>
            <w:tcW w:w="439" w:type="pct"/>
            <w:noWrap w:val="0"/>
            <w:vAlign w:val="center"/>
          </w:tcPr>
          <w:p w14:paraId="6E7E5ACF">
            <w:pPr>
              <w:spacing w:line="400" w:lineRule="exact"/>
              <w:jc w:val="center"/>
              <w:rPr>
                <w:rFonts w:ascii="楷体" w:hAnsi="楷体" w:eastAsia="楷体"/>
                <w:color w:val="000000"/>
                <w:szCs w:val="28"/>
              </w:rPr>
            </w:pPr>
          </w:p>
        </w:tc>
        <w:tc>
          <w:tcPr>
            <w:tcW w:w="540" w:type="pct"/>
            <w:noWrap w:val="0"/>
            <w:vAlign w:val="center"/>
          </w:tcPr>
          <w:p w14:paraId="59DF4968">
            <w:pPr>
              <w:spacing w:line="400" w:lineRule="exact"/>
              <w:jc w:val="center"/>
              <w:rPr>
                <w:rFonts w:ascii="楷体" w:hAnsi="楷体" w:eastAsia="楷体"/>
                <w:color w:val="000000"/>
                <w:szCs w:val="28"/>
              </w:rPr>
            </w:pPr>
          </w:p>
        </w:tc>
        <w:tc>
          <w:tcPr>
            <w:tcW w:w="733" w:type="pct"/>
            <w:noWrap w:val="0"/>
            <w:vAlign w:val="center"/>
          </w:tcPr>
          <w:p w14:paraId="25AF796F">
            <w:pPr>
              <w:spacing w:line="400" w:lineRule="exact"/>
              <w:jc w:val="center"/>
              <w:rPr>
                <w:rFonts w:ascii="楷体" w:hAnsi="楷体" w:eastAsia="楷体"/>
                <w:color w:val="000000"/>
                <w:szCs w:val="28"/>
              </w:rPr>
            </w:pPr>
          </w:p>
        </w:tc>
        <w:tc>
          <w:tcPr>
            <w:tcW w:w="999" w:type="pct"/>
            <w:noWrap w:val="0"/>
            <w:vAlign w:val="center"/>
          </w:tcPr>
          <w:p w14:paraId="55B43479">
            <w:pPr>
              <w:spacing w:line="400" w:lineRule="exact"/>
              <w:jc w:val="center"/>
              <w:rPr>
                <w:rFonts w:ascii="楷体" w:hAnsi="楷体" w:eastAsia="楷体"/>
                <w:color w:val="000000"/>
                <w:szCs w:val="28"/>
              </w:rPr>
            </w:pPr>
          </w:p>
        </w:tc>
      </w:tr>
      <w:tr w14:paraId="307F80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04ACD020">
            <w:pPr>
              <w:spacing w:line="400" w:lineRule="exact"/>
              <w:jc w:val="center"/>
              <w:rPr>
                <w:rFonts w:ascii="楷体" w:hAnsi="楷体" w:eastAsia="楷体"/>
                <w:color w:val="000000"/>
                <w:szCs w:val="28"/>
              </w:rPr>
            </w:pPr>
          </w:p>
        </w:tc>
        <w:tc>
          <w:tcPr>
            <w:tcW w:w="530" w:type="pct"/>
            <w:noWrap w:val="0"/>
            <w:vAlign w:val="center"/>
          </w:tcPr>
          <w:p w14:paraId="4E03D92D">
            <w:pPr>
              <w:spacing w:line="400" w:lineRule="exact"/>
              <w:jc w:val="center"/>
              <w:rPr>
                <w:rFonts w:ascii="楷体" w:hAnsi="楷体" w:eastAsia="楷体"/>
                <w:color w:val="000000"/>
                <w:szCs w:val="28"/>
              </w:rPr>
            </w:pPr>
          </w:p>
        </w:tc>
        <w:tc>
          <w:tcPr>
            <w:tcW w:w="584" w:type="pct"/>
            <w:noWrap w:val="0"/>
            <w:vAlign w:val="top"/>
          </w:tcPr>
          <w:p w14:paraId="203CC23A">
            <w:pPr>
              <w:spacing w:line="400" w:lineRule="exact"/>
              <w:jc w:val="center"/>
              <w:rPr>
                <w:rFonts w:ascii="楷体" w:hAnsi="楷体" w:eastAsia="楷体"/>
                <w:color w:val="000000"/>
                <w:szCs w:val="28"/>
              </w:rPr>
            </w:pPr>
          </w:p>
        </w:tc>
        <w:tc>
          <w:tcPr>
            <w:tcW w:w="463" w:type="pct"/>
            <w:noWrap w:val="0"/>
            <w:vAlign w:val="center"/>
          </w:tcPr>
          <w:p w14:paraId="2F1D7105">
            <w:pPr>
              <w:spacing w:line="400" w:lineRule="exact"/>
              <w:jc w:val="center"/>
              <w:rPr>
                <w:rFonts w:ascii="楷体" w:hAnsi="楷体" w:eastAsia="楷体"/>
                <w:color w:val="000000"/>
                <w:szCs w:val="28"/>
              </w:rPr>
            </w:pPr>
          </w:p>
        </w:tc>
        <w:tc>
          <w:tcPr>
            <w:tcW w:w="439" w:type="pct"/>
            <w:noWrap w:val="0"/>
            <w:vAlign w:val="center"/>
          </w:tcPr>
          <w:p w14:paraId="2BF590FB">
            <w:pPr>
              <w:spacing w:line="400" w:lineRule="exact"/>
              <w:jc w:val="center"/>
              <w:rPr>
                <w:rFonts w:ascii="楷体" w:hAnsi="楷体" w:eastAsia="楷体"/>
                <w:color w:val="000000"/>
                <w:szCs w:val="28"/>
              </w:rPr>
            </w:pPr>
          </w:p>
        </w:tc>
        <w:tc>
          <w:tcPr>
            <w:tcW w:w="540" w:type="pct"/>
            <w:noWrap w:val="0"/>
            <w:vAlign w:val="center"/>
          </w:tcPr>
          <w:p w14:paraId="76590410">
            <w:pPr>
              <w:spacing w:line="400" w:lineRule="exact"/>
              <w:jc w:val="center"/>
              <w:rPr>
                <w:rFonts w:ascii="楷体" w:hAnsi="楷体" w:eastAsia="楷体"/>
                <w:color w:val="000000"/>
                <w:szCs w:val="28"/>
              </w:rPr>
            </w:pPr>
          </w:p>
        </w:tc>
        <w:tc>
          <w:tcPr>
            <w:tcW w:w="733" w:type="pct"/>
            <w:noWrap w:val="0"/>
            <w:vAlign w:val="center"/>
          </w:tcPr>
          <w:p w14:paraId="6B1A8DF5">
            <w:pPr>
              <w:spacing w:line="400" w:lineRule="exact"/>
              <w:jc w:val="center"/>
              <w:rPr>
                <w:rFonts w:ascii="楷体" w:hAnsi="楷体" w:eastAsia="楷体"/>
                <w:color w:val="000000"/>
                <w:szCs w:val="28"/>
              </w:rPr>
            </w:pPr>
          </w:p>
        </w:tc>
        <w:tc>
          <w:tcPr>
            <w:tcW w:w="999" w:type="pct"/>
            <w:noWrap w:val="0"/>
            <w:vAlign w:val="center"/>
          </w:tcPr>
          <w:p w14:paraId="1CB30532">
            <w:pPr>
              <w:spacing w:line="400" w:lineRule="exact"/>
              <w:jc w:val="center"/>
              <w:rPr>
                <w:rFonts w:ascii="楷体" w:hAnsi="楷体" w:eastAsia="楷体"/>
                <w:color w:val="000000"/>
                <w:szCs w:val="28"/>
              </w:rPr>
            </w:pPr>
          </w:p>
        </w:tc>
      </w:tr>
      <w:tr w14:paraId="636E90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center"/>
          </w:tcPr>
          <w:p w14:paraId="3D2BF237">
            <w:pPr>
              <w:spacing w:line="400" w:lineRule="exact"/>
              <w:rPr>
                <w:rFonts w:ascii="楷体" w:hAnsi="楷体" w:eastAsia="楷体"/>
                <w:color w:val="000000"/>
                <w:szCs w:val="28"/>
              </w:rPr>
            </w:pPr>
          </w:p>
        </w:tc>
        <w:tc>
          <w:tcPr>
            <w:tcW w:w="530" w:type="pct"/>
            <w:noWrap w:val="0"/>
            <w:vAlign w:val="center"/>
          </w:tcPr>
          <w:p w14:paraId="43BF5D77">
            <w:pPr>
              <w:spacing w:line="400" w:lineRule="exact"/>
              <w:rPr>
                <w:rFonts w:ascii="楷体" w:hAnsi="楷体" w:eastAsia="楷体"/>
                <w:color w:val="000000"/>
                <w:szCs w:val="28"/>
              </w:rPr>
            </w:pPr>
          </w:p>
        </w:tc>
        <w:tc>
          <w:tcPr>
            <w:tcW w:w="584" w:type="pct"/>
            <w:noWrap w:val="0"/>
            <w:vAlign w:val="top"/>
          </w:tcPr>
          <w:p w14:paraId="411387CF">
            <w:pPr>
              <w:spacing w:line="400" w:lineRule="exact"/>
              <w:rPr>
                <w:rFonts w:ascii="楷体" w:hAnsi="楷体" w:eastAsia="楷体"/>
                <w:color w:val="000000"/>
                <w:szCs w:val="28"/>
              </w:rPr>
            </w:pPr>
          </w:p>
        </w:tc>
        <w:tc>
          <w:tcPr>
            <w:tcW w:w="463" w:type="pct"/>
            <w:noWrap w:val="0"/>
            <w:vAlign w:val="center"/>
          </w:tcPr>
          <w:p w14:paraId="35C5E47F">
            <w:pPr>
              <w:spacing w:line="400" w:lineRule="exact"/>
              <w:rPr>
                <w:rFonts w:ascii="楷体" w:hAnsi="楷体" w:eastAsia="楷体"/>
                <w:color w:val="000000"/>
                <w:szCs w:val="28"/>
              </w:rPr>
            </w:pPr>
          </w:p>
        </w:tc>
        <w:tc>
          <w:tcPr>
            <w:tcW w:w="439" w:type="pct"/>
            <w:noWrap w:val="0"/>
            <w:vAlign w:val="center"/>
          </w:tcPr>
          <w:p w14:paraId="040780A1">
            <w:pPr>
              <w:spacing w:line="400" w:lineRule="exact"/>
              <w:rPr>
                <w:rFonts w:ascii="楷体" w:hAnsi="楷体" w:eastAsia="楷体"/>
                <w:color w:val="000000"/>
                <w:szCs w:val="28"/>
              </w:rPr>
            </w:pPr>
          </w:p>
        </w:tc>
        <w:tc>
          <w:tcPr>
            <w:tcW w:w="540" w:type="pct"/>
            <w:noWrap w:val="0"/>
            <w:vAlign w:val="center"/>
          </w:tcPr>
          <w:p w14:paraId="2EF42120">
            <w:pPr>
              <w:spacing w:line="400" w:lineRule="exact"/>
              <w:rPr>
                <w:rFonts w:ascii="楷体" w:hAnsi="楷体" w:eastAsia="楷体"/>
                <w:color w:val="000000"/>
                <w:szCs w:val="28"/>
              </w:rPr>
            </w:pPr>
          </w:p>
        </w:tc>
        <w:tc>
          <w:tcPr>
            <w:tcW w:w="733" w:type="pct"/>
            <w:noWrap w:val="0"/>
            <w:vAlign w:val="center"/>
          </w:tcPr>
          <w:p w14:paraId="58D9FEB7">
            <w:pPr>
              <w:spacing w:line="400" w:lineRule="exact"/>
              <w:rPr>
                <w:rFonts w:ascii="楷体" w:hAnsi="楷体" w:eastAsia="楷体"/>
                <w:color w:val="000000"/>
                <w:szCs w:val="28"/>
              </w:rPr>
            </w:pPr>
          </w:p>
        </w:tc>
        <w:tc>
          <w:tcPr>
            <w:tcW w:w="999" w:type="pct"/>
            <w:noWrap w:val="0"/>
            <w:vAlign w:val="center"/>
          </w:tcPr>
          <w:p w14:paraId="476B7D25">
            <w:pPr>
              <w:spacing w:line="400" w:lineRule="exact"/>
              <w:rPr>
                <w:rFonts w:ascii="楷体" w:hAnsi="楷体" w:eastAsia="楷体"/>
                <w:color w:val="000000"/>
                <w:szCs w:val="28"/>
              </w:rPr>
            </w:pPr>
          </w:p>
        </w:tc>
      </w:tr>
      <w:tr w14:paraId="37F00F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56B44805">
            <w:pPr>
              <w:spacing w:line="400" w:lineRule="exact"/>
              <w:rPr>
                <w:rFonts w:ascii="楷体" w:hAnsi="楷体" w:eastAsia="楷体"/>
                <w:color w:val="000000"/>
                <w:szCs w:val="28"/>
              </w:rPr>
            </w:pPr>
          </w:p>
        </w:tc>
        <w:tc>
          <w:tcPr>
            <w:tcW w:w="4290" w:type="pct"/>
            <w:gridSpan w:val="7"/>
            <w:noWrap w:val="0"/>
            <w:vAlign w:val="center"/>
          </w:tcPr>
          <w:p w14:paraId="17F982F0">
            <w:pPr>
              <w:spacing w:line="400" w:lineRule="exact"/>
              <w:rPr>
                <w:rFonts w:ascii="楷体" w:hAnsi="楷体" w:eastAsia="楷体"/>
                <w:color w:val="000000"/>
                <w:szCs w:val="28"/>
              </w:rPr>
            </w:pPr>
            <w:r>
              <w:rPr>
                <w:rFonts w:hint="eastAsia" w:ascii="楷体" w:hAnsi="楷体" w:eastAsia="楷体"/>
                <w:color w:val="000000"/>
                <w:szCs w:val="28"/>
              </w:rPr>
              <w:t>供货周期（天）：        保修期（年） ：</w:t>
            </w:r>
            <w:r>
              <w:rPr>
                <w:rFonts w:hint="eastAsia" w:ascii="楷体" w:hAnsi="楷体" w:eastAsia="楷体"/>
                <w:color w:val="000000"/>
                <w:szCs w:val="28"/>
                <w:lang w:eastAsia="zh-CN"/>
              </w:rPr>
              <w:t>（</w:t>
            </w:r>
            <w:r>
              <w:rPr>
                <w:rFonts w:hint="eastAsia" w:ascii="楷体" w:hAnsi="楷体" w:eastAsia="楷体"/>
                <w:color w:val="000000"/>
                <w:szCs w:val="28"/>
                <w:lang w:val="en-US" w:eastAsia="zh-CN"/>
              </w:rPr>
              <w:t>整机/主机</w:t>
            </w:r>
            <w:r>
              <w:rPr>
                <w:rFonts w:hint="eastAsia" w:ascii="楷体" w:hAnsi="楷体" w:eastAsia="楷体"/>
                <w:color w:val="000000"/>
                <w:szCs w:val="28"/>
                <w:lang w:eastAsia="zh-CN"/>
              </w:rPr>
              <w:t>）</w:t>
            </w:r>
            <w:r>
              <w:rPr>
                <w:rFonts w:hint="eastAsia" w:ascii="楷体" w:hAnsi="楷体" w:eastAsia="楷体"/>
                <w:color w:val="000000"/>
                <w:szCs w:val="28"/>
              </w:rPr>
              <w:t xml:space="preserve"> 5年           </w:t>
            </w:r>
          </w:p>
        </w:tc>
      </w:tr>
      <w:tr w14:paraId="0D986D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237" w:type="pct"/>
          <w:trHeight w:val="694" w:hRule="atLeast"/>
        </w:trPr>
        <w:tc>
          <w:tcPr>
            <w:tcW w:w="471" w:type="pct"/>
            <w:noWrap w:val="0"/>
            <w:vAlign w:val="top"/>
          </w:tcPr>
          <w:p w14:paraId="3FA5D3C1">
            <w:pPr>
              <w:spacing w:line="400" w:lineRule="exact"/>
              <w:rPr>
                <w:rFonts w:ascii="楷体" w:hAnsi="楷体" w:eastAsia="楷体"/>
                <w:color w:val="000000"/>
                <w:szCs w:val="28"/>
              </w:rPr>
            </w:pPr>
          </w:p>
        </w:tc>
        <w:tc>
          <w:tcPr>
            <w:tcW w:w="4290" w:type="pct"/>
            <w:gridSpan w:val="7"/>
            <w:noWrap w:val="0"/>
            <w:vAlign w:val="center"/>
          </w:tcPr>
          <w:p w14:paraId="58027C5E">
            <w:pPr>
              <w:spacing w:line="400" w:lineRule="exact"/>
              <w:rPr>
                <w:rFonts w:ascii="楷体" w:hAnsi="楷体" w:eastAsia="楷体"/>
                <w:color w:val="000000"/>
                <w:szCs w:val="28"/>
              </w:rPr>
            </w:pPr>
            <w:r>
              <w:rPr>
                <w:rFonts w:hint="eastAsia" w:ascii="楷体" w:hAnsi="楷体" w:eastAsia="楷体"/>
                <w:color w:val="000000"/>
                <w:szCs w:val="28"/>
              </w:rPr>
              <w:t>总价（万元）：</w:t>
            </w:r>
          </w:p>
        </w:tc>
      </w:tr>
    </w:tbl>
    <w:p w14:paraId="3D843613">
      <w:pPr>
        <w:pStyle w:val="3"/>
        <w:rPr>
          <w:rFonts w:hint="eastAsia"/>
          <w:color w:val="000000"/>
        </w:rPr>
      </w:pPr>
    </w:p>
    <w:p w14:paraId="3D7DE914">
      <w:pPr>
        <w:rPr>
          <w:rFonts w:hint="eastAsia"/>
          <w:color w:val="000000"/>
        </w:rPr>
      </w:pPr>
    </w:p>
    <w:p w14:paraId="1E8DCCFA">
      <w:pPr>
        <w:spacing w:line="500" w:lineRule="exact"/>
        <w:ind w:firstLine="480" w:firstLineChars="200"/>
        <w:rPr>
          <w:rFonts w:hint="eastAsia" w:ascii="宋体" w:hAnsi="宋体" w:cs="宋体"/>
          <w:color w:val="000000"/>
          <w:sz w:val="24"/>
          <w:szCs w:val="28"/>
        </w:rPr>
      </w:pPr>
      <w:r>
        <w:rPr>
          <w:rFonts w:hint="eastAsia" w:ascii="宋体" w:hAnsi="宋体" w:cs="宋体"/>
          <w:color w:val="000000"/>
          <w:sz w:val="24"/>
          <w:szCs w:val="28"/>
        </w:rPr>
        <w:t>竞选人：                          法定代表人或法定代表人授权代表：</w:t>
      </w:r>
    </w:p>
    <w:p w14:paraId="7021FB61">
      <w:pPr>
        <w:spacing w:line="500" w:lineRule="exact"/>
        <w:rPr>
          <w:rFonts w:hint="eastAsia" w:ascii="宋体" w:hAnsi="宋体" w:cs="宋体"/>
          <w:color w:val="000000"/>
          <w:sz w:val="24"/>
          <w:szCs w:val="28"/>
        </w:rPr>
      </w:pPr>
      <w:r>
        <w:rPr>
          <w:rFonts w:hint="eastAsia" w:ascii="宋体" w:hAnsi="宋体" w:cs="宋体"/>
          <w:color w:val="000000"/>
          <w:sz w:val="24"/>
          <w:szCs w:val="28"/>
        </w:rPr>
        <w:t xml:space="preserve">  （竞选人公章）                               （签署或盖章）</w:t>
      </w:r>
    </w:p>
    <w:p w14:paraId="180B88E6">
      <w:pPr>
        <w:spacing w:line="500" w:lineRule="exact"/>
        <w:rPr>
          <w:rFonts w:hint="eastAsia" w:ascii="宋体" w:hAnsi="宋体" w:cs="宋体"/>
          <w:color w:val="000000"/>
          <w:sz w:val="24"/>
          <w:szCs w:val="28"/>
        </w:rPr>
      </w:pPr>
    </w:p>
    <w:p w14:paraId="5002A4EE">
      <w:pPr>
        <w:spacing w:line="500" w:lineRule="exact"/>
        <w:rPr>
          <w:rFonts w:hint="eastAsia" w:ascii="宋体" w:hAnsi="宋体" w:cs="宋体"/>
          <w:color w:val="000000"/>
          <w:sz w:val="24"/>
          <w:szCs w:val="28"/>
        </w:rPr>
      </w:pPr>
    </w:p>
    <w:p w14:paraId="3FBF7316">
      <w:pPr>
        <w:spacing w:line="500" w:lineRule="exact"/>
        <w:rPr>
          <w:rFonts w:hint="eastAsia" w:ascii="宋体" w:hAnsi="宋体" w:cs="宋体"/>
          <w:color w:val="000000"/>
          <w:sz w:val="24"/>
          <w:szCs w:val="28"/>
        </w:rPr>
      </w:pPr>
      <w:r>
        <w:rPr>
          <w:rFonts w:hint="eastAsia" w:ascii="宋体" w:hAnsi="宋体" w:cs="宋体"/>
          <w:color w:val="000000"/>
          <w:sz w:val="24"/>
          <w:szCs w:val="28"/>
        </w:rPr>
        <w:t xml:space="preserve">                                            年     月     日</w:t>
      </w:r>
    </w:p>
    <w:p w14:paraId="7C04E05A">
      <w:pPr>
        <w:snapToGrid w:val="0"/>
        <w:spacing w:line="500" w:lineRule="exact"/>
        <w:ind w:firstLine="480" w:firstLineChars="200"/>
        <w:rPr>
          <w:rFonts w:hint="eastAsia" w:ascii="宋体" w:hAnsi="宋体" w:cs="宋体"/>
          <w:color w:val="000000"/>
          <w:sz w:val="24"/>
          <w:szCs w:val="28"/>
        </w:rPr>
      </w:pPr>
    </w:p>
    <w:p w14:paraId="7D1B28CD">
      <w:pPr>
        <w:snapToGrid w:val="0"/>
        <w:ind w:firstLine="480" w:firstLineChars="200"/>
        <w:rPr>
          <w:rFonts w:hint="eastAsia" w:ascii="宋体" w:hAnsi="宋体" w:eastAsia="宋体" w:cs="宋体"/>
          <w:color w:val="000000"/>
          <w:sz w:val="24"/>
          <w:szCs w:val="28"/>
        </w:rPr>
      </w:pPr>
      <w:r>
        <w:rPr>
          <w:rFonts w:hint="eastAsia" w:ascii="宋体" w:hAnsi="宋体" w:eastAsia="宋体" w:cs="宋体"/>
          <w:color w:val="000000"/>
          <w:sz w:val="24"/>
          <w:szCs w:val="28"/>
        </w:rPr>
        <w:t>说明：1.报价一览表按格式填列；务必填写清楚，准确无误。</w:t>
      </w:r>
    </w:p>
    <w:p w14:paraId="6E218531">
      <w:pPr>
        <w:pStyle w:val="22"/>
        <w:ind w:left="1190" w:leftChars="425" w:firstLine="0" w:firstLineChars="0"/>
        <w:rPr>
          <w:rFonts w:hint="eastAsia" w:ascii="宋体" w:hAnsi="宋体" w:eastAsia="宋体" w:cs="宋体"/>
          <w:color w:val="000000"/>
          <w:sz w:val="24"/>
          <w:szCs w:val="28"/>
        </w:rPr>
      </w:pPr>
      <w:r>
        <w:rPr>
          <w:rFonts w:hint="eastAsia" w:ascii="宋体" w:hAnsi="宋体" w:eastAsia="宋体" w:cs="宋体"/>
          <w:color w:val="000000"/>
          <w:sz w:val="24"/>
          <w:szCs w:val="28"/>
        </w:rPr>
        <w:t>2.保修期应注明整机还是主机，若为主机，还须在易损件报价表中明确报出易损件的价格。</w:t>
      </w:r>
    </w:p>
    <w:p w14:paraId="13B8EAB0">
      <w:pPr>
        <w:pStyle w:val="57"/>
        <w:ind w:firstLine="0"/>
        <w:rPr>
          <w:rFonts w:hint="default" w:ascii="宋体" w:hAnsi="宋体" w:eastAsia="宋体" w:cs="宋体"/>
          <w:b/>
          <w:bCs/>
          <w:color w:val="000000"/>
          <w:sz w:val="24"/>
          <w:szCs w:val="24"/>
          <w:lang w:val="en-US"/>
        </w:rPr>
      </w:pPr>
      <w:r>
        <w:rPr>
          <w:rFonts w:hint="eastAsia" w:ascii="宋体" w:hAnsi="宋体" w:eastAsia="宋体" w:cs="宋体"/>
          <w:color w:val="000000"/>
          <w:sz w:val="24"/>
          <w:szCs w:val="28"/>
        </w:rPr>
        <w:br w:type="page"/>
      </w:r>
      <w:r>
        <w:rPr>
          <w:rFonts w:hint="eastAsia" w:ascii="宋体" w:hAnsi="宋体" w:eastAsia="宋体" w:cs="宋体"/>
          <w:kern w:val="2"/>
          <w:sz w:val="24"/>
          <w:szCs w:val="24"/>
          <w:lang w:val="en-US" w:eastAsia="zh-CN" w:bidi="ar-SA"/>
        </w:rPr>
        <w:t>（</w:t>
      </w:r>
      <w:r>
        <w:rPr>
          <w:rFonts w:hint="eastAsia" w:eastAsia="宋体" w:cs="宋体"/>
          <w:kern w:val="2"/>
          <w:sz w:val="24"/>
          <w:szCs w:val="24"/>
          <w:lang w:val="en-US" w:eastAsia="zh-CN" w:bidi="ar-SA"/>
        </w:rPr>
        <w:t>三</w:t>
      </w:r>
      <w:r>
        <w:rPr>
          <w:rFonts w:hint="eastAsia" w:ascii="宋体" w:hAnsi="宋体" w:eastAsia="宋体" w:cs="宋体"/>
          <w:kern w:val="2"/>
          <w:sz w:val="24"/>
          <w:szCs w:val="24"/>
          <w:lang w:val="en-US" w:eastAsia="zh-CN" w:bidi="ar-SA"/>
        </w:rPr>
        <w:t>）</w:t>
      </w:r>
      <w:bookmarkStart w:id="176" w:name="OLE_LINK17"/>
      <w:r>
        <w:rPr>
          <w:rFonts w:hint="eastAsia" w:ascii="宋体" w:hAnsi="宋体" w:eastAsia="宋体" w:cs="宋体"/>
          <w:kern w:val="2"/>
          <w:sz w:val="24"/>
          <w:szCs w:val="24"/>
          <w:lang w:val="en-US" w:eastAsia="zh-CN" w:bidi="ar-SA"/>
        </w:rPr>
        <w:t>耗材专用设备零配件报价表</w:t>
      </w:r>
      <w:bookmarkEnd w:id="176"/>
      <w:r>
        <w:rPr>
          <w:rFonts w:hint="eastAsia" w:eastAsia="宋体" w:cs="宋体"/>
          <w:kern w:val="2"/>
          <w:sz w:val="24"/>
          <w:szCs w:val="24"/>
          <w:lang w:val="en-US" w:eastAsia="zh-CN" w:bidi="ar-SA"/>
        </w:rPr>
        <w:t>(如有)</w:t>
      </w:r>
    </w:p>
    <w:p w14:paraId="5D7CBF43">
      <w:pPr>
        <w:pStyle w:val="22"/>
        <w:rPr>
          <w:rFonts w:hint="eastAsia" w:ascii="宋体" w:hAnsi="宋体" w:eastAsia="宋体" w:cs="宋体"/>
          <w:kern w:val="2"/>
          <w:sz w:val="24"/>
          <w:szCs w:val="24"/>
          <w:lang w:val="en-US" w:eastAsia="zh-CN" w:bidi="ar-SA"/>
        </w:rPr>
      </w:pPr>
    </w:p>
    <w:p w14:paraId="444CD773">
      <w:pPr>
        <w:pStyle w:val="23"/>
        <w:rPr>
          <w:rFonts w:hint="eastAsia"/>
          <w:i w:val="0"/>
          <w:iCs/>
        </w:rPr>
      </w:pPr>
      <w:r>
        <w:rPr>
          <w:rFonts w:hint="eastAsia" w:ascii="宋体" w:hAnsi="宋体" w:cs="宋体"/>
          <w:b/>
          <w:bCs/>
          <w:i w:val="0"/>
          <w:iCs/>
          <w:color w:val="000000"/>
          <w:kern w:val="0"/>
          <w:sz w:val="36"/>
          <w:szCs w:val="36"/>
          <w:lang w:eastAsia="zh-CN" w:bidi="ar"/>
        </w:rPr>
        <w:t>耗材专用设备零配件报价表</w:t>
      </w:r>
    </w:p>
    <w:tbl>
      <w:tblPr>
        <w:tblStyle w:val="59"/>
        <w:tblW w:w="4997"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1859"/>
        <w:gridCol w:w="1173"/>
        <w:gridCol w:w="1683"/>
        <w:gridCol w:w="853"/>
        <w:gridCol w:w="1256"/>
        <w:gridCol w:w="1115"/>
        <w:gridCol w:w="1115"/>
      </w:tblGrid>
      <w:tr w14:paraId="6D91CA9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831" w:hRule="atLeast"/>
        </w:trPr>
        <w:tc>
          <w:tcPr>
            <w:tcW w:w="295" w:type="pct"/>
            <w:noWrap w:val="0"/>
            <w:vAlign w:val="center"/>
          </w:tcPr>
          <w:p w14:paraId="308AD4E7">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序号</w:t>
            </w:r>
          </w:p>
        </w:tc>
        <w:tc>
          <w:tcPr>
            <w:tcW w:w="965" w:type="pct"/>
            <w:noWrap w:val="0"/>
            <w:vAlign w:val="center"/>
          </w:tcPr>
          <w:p w14:paraId="4EA4F93C">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名称</w:t>
            </w:r>
          </w:p>
        </w:tc>
        <w:tc>
          <w:tcPr>
            <w:tcW w:w="609" w:type="pct"/>
            <w:noWrap w:val="0"/>
            <w:vAlign w:val="center"/>
          </w:tcPr>
          <w:p w14:paraId="0B068866">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品牌</w:t>
            </w:r>
          </w:p>
        </w:tc>
        <w:tc>
          <w:tcPr>
            <w:tcW w:w="874" w:type="pct"/>
            <w:noWrap w:val="0"/>
            <w:vAlign w:val="center"/>
          </w:tcPr>
          <w:p w14:paraId="7CD332A4">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规格型号</w:t>
            </w:r>
          </w:p>
        </w:tc>
        <w:tc>
          <w:tcPr>
            <w:tcW w:w="443" w:type="pct"/>
            <w:noWrap w:val="0"/>
            <w:vAlign w:val="center"/>
          </w:tcPr>
          <w:p w14:paraId="5A9C7F65">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数量</w:t>
            </w:r>
          </w:p>
        </w:tc>
        <w:tc>
          <w:tcPr>
            <w:tcW w:w="652" w:type="pct"/>
            <w:noWrap w:val="0"/>
            <w:vAlign w:val="center"/>
          </w:tcPr>
          <w:p w14:paraId="6F75C733">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报价</w:t>
            </w:r>
          </w:p>
        </w:tc>
        <w:tc>
          <w:tcPr>
            <w:tcW w:w="579" w:type="pct"/>
            <w:noWrap w:val="0"/>
            <w:vAlign w:val="center"/>
          </w:tcPr>
          <w:p w14:paraId="7ED8F83E">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成交价</w:t>
            </w:r>
          </w:p>
        </w:tc>
        <w:tc>
          <w:tcPr>
            <w:tcW w:w="579" w:type="pct"/>
            <w:noWrap w:val="0"/>
            <w:vAlign w:val="center"/>
          </w:tcPr>
          <w:p w14:paraId="4C224B7E">
            <w:pPr>
              <w:pStyle w:val="31"/>
              <w:spacing w:line="240" w:lineRule="auto"/>
              <w:jc w:val="center"/>
              <w:rPr>
                <w:rFonts w:ascii="楷体" w:hAnsi="楷体" w:eastAsia="楷体"/>
                <w:color w:val="000000"/>
                <w:sz w:val="28"/>
                <w:szCs w:val="28"/>
              </w:rPr>
            </w:pPr>
            <w:r>
              <w:rPr>
                <w:rFonts w:hint="eastAsia" w:ascii="楷体" w:hAnsi="楷体" w:eastAsia="楷体"/>
                <w:color w:val="000000"/>
                <w:sz w:val="28"/>
                <w:szCs w:val="28"/>
              </w:rPr>
              <w:t>备注</w:t>
            </w:r>
          </w:p>
        </w:tc>
      </w:tr>
      <w:tr w14:paraId="5DE8C20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60" w:hRule="atLeast"/>
        </w:trPr>
        <w:tc>
          <w:tcPr>
            <w:tcW w:w="295" w:type="pct"/>
            <w:noWrap w:val="0"/>
            <w:vAlign w:val="center"/>
          </w:tcPr>
          <w:p w14:paraId="65191481">
            <w:pPr>
              <w:pStyle w:val="31"/>
              <w:jc w:val="center"/>
              <w:rPr>
                <w:rFonts w:ascii="Arial" w:hAnsi="Arial" w:eastAsia="仿宋_GB2312" w:cs="Arial"/>
                <w:color w:val="000000"/>
              </w:rPr>
            </w:pPr>
          </w:p>
        </w:tc>
        <w:tc>
          <w:tcPr>
            <w:tcW w:w="965" w:type="pct"/>
            <w:noWrap w:val="0"/>
            <w:vAlign w:val="center"/>
          </w:tcPr>
          <w:p w14:paraId="021F524D">
            <w:pPr>
              <w:pStyle w:val="31"/>
              <w:jc w:val="center"/>
              <w:rPr>
                <w:rFonts w:ascii="Arial" w:hAnsi="Arial" w:eastAsia="仿宋_GB2312" w:cs="Arial"/>
                <w:color w:val="000000"/>
              </w:rPr>
            </w:pPr>
          </w:p>
        </w:tc>
        <w:tc>
          <w:tcPr>
            <w:tcW w:w="609" w:type="pct"/>
            <w:noWrap w:val="0"/>
            <w:vAlign w:val="center"/>
          </w:tcPr>
          <w:p w14:paraId="2EC7062B">
            <w:pPr>
              <w:pStyle w:val="31"/>
              <w:jc w:val="center"/>
              <w:rPr>
                <w:rFonts w:ascii="Arial" w:hAnsi="Arial" w:eastAsia="仿宋_GB2312" w:cs="Arial"/>
                <w:color w:val="000000"/>
              </w:rPr>
            </w:pPr>
          </w:p>
        </w:tc>
        <w:tc>
          <w:tcPr>
            <w:tcW w:w="874" w:type="pct"/>
            <w:noWrap w:val="0"/>
            <w:vAlign w:val="top"/>
          </w:tcPr>
          <w:p w14:paraId="762EC882">
            <w:pPr>
              <w:rPr>
                <w:color w:val="000000"/>
              </w:rPr>
            </w:pPr>
          </w:p>
        </w:tc>
        <w:tc>
          <w:tcPr>
            <w:tcW w:w="443" w:type="pct"/>
            <w:noWrap w:val="0"/>
            <w:vAlign w:val="center"/>
          </w:tcPr>
          <w:p w14:paraId="7B3E54FF">
            <w:pPr>
              <w:pStyle w:val="31"/>
              <w:jc w:val="center"/>
              <w:rPr>
                <w:rFonts w:ascii="Arial" w:hAnsi="Arial" w:eastAsia="仿宋_GB2312" w:cs="Arial"/>
                <w:color w:val="000000"/>
              </w:rPr>
            </w:pPr>
          </w:p>
        </w:tc>
        <w:tc>
          <w:tcPr>
            <w:tcW w:w="652" w:type="pct"/>
            <w:noWrap w:val="0"/>
            <w:vAlign w:val="center"/>
          </w:tcPr>
          <w:p w14:paraId="054802A1">
            <w:pPr>
              <w:pStyle w:val="31"/>
              <w:jc w:val="center"/>
              <w:rPr>
                <w:rFonts w:ascii="Arial" w:hAnsi="Arial" w:eastAsia="仿宋_GB2312" w:cs="Arial"/>
                <w:color w:val="000000"/>
              </w:rPr>
            </w:pPr>
          </w:p>
        </w:tc>
        <w:tc>
          <w:tcPr>
            <w:tcW w:w="579" w:type="pct"/>
            <w:noWrap w:val="0"/>
            <w:vAlign w:val="center"/>
          </w:tcPr>
          <w:p w14:paraId="07C83FF6">
            <w:pPr>
              <w:pStyle w:val="31"/>
              <w:jc w:val="center"/>
              <w:rPr>
                <w:rFonts w:ascii="Arial" w:hAnsi="Arial" w:eastAsia="仿宋_GB2312" w:cs="Arial"/>
                <w:color w:val="000000"/>
              </w:rPr>
            </w:pPr>
          </w:p>
        </w:tc>
        <w:tc>
          <w:tcPr>
            <w:tcW w:w="579" w:type="pct"/>
            <w:noWrap w:val="0"/>
            <w:vAlign w:val="center"/>
          </w:tcPr>
          <w:p w14:paraId="63C83468">
            <w:pPr>
              <w:pStyle w:val="31"/>
              <w:jc w:val="center"/>
              <w:rPr>
                <w:rFonts w:ascii="Arial" w:hAnsi="Arial" w:eastAsia="仿宋_GB2312" w:cs="Arial"/>
                <w:color w:val="000000"/>
              </w:rPr>
            </w:pPr>
          </w:p>
        </w:tc>
      </w:tr>
      <w:tr w14:paraId="57AC3B7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39" w:hRule="atLeast"/>
        </w:trPr>
        <w:tc>
          <w:tcPr>
            <w:tcW w:w="295" w:type="pct"/>
            <w:noWrap w:val="0"/>
            <w:vAlign w:val="center"/>
          </w:tcPr>
          <w:p w14:paraId="69E96D9A">
            <w:pPr>
              <w:pStyle w:val="31"/>
              <w:jc w:val="center"/>
              <w:rPr>
                <w:rFonts w:ascii="Arial" w:hAnsi="Arial" w:eastAsia="仿宋_GB2312" w:cs="Arial"/>
                <w:color w:val="000000"/>
              </w:rPr>
            </w:pPr>
          </w:p>
        </w:tc>
        <w:tc>
          <w:tcPr>
            <w:tcW w:w="965" w:type="pct"/>
            <w:noWrap w:val="0"/>
            <w:vAlign w:val="center"/>
          </w:tcPr>
          <w:p w14:paraId="6617C985">
            <w:pPr>
              <w:pStyle w:val="31"/>
              <w:jc w:val="center"/>
              <w:rPr>
                <w:rFonts w:ascii="Arial" w:hAnsi="Arial" w:eastAsia="仿宋_GB2312" w:cs="Arial"/>
                <w:color w:val="000000"/>
              </w:rPr>
            </w:pPr>
          </w:p>
        </w:tc>
        <w:tc>
          <w:tcPr>
            <w:tcW w:w="609" w:type="pct"/>
            <w:noWrap w:val="0"/>
            <w:vAlign w:val="center"/>
          </w:tcPr>
          <w:p w14:paraId="14345953">
            <w:pPr>
              <w:pStyle w:val="31"/>
              <w:jc w:val="center"/>
              <w:rPr>
                <w:rFonts w:ascii="Arial" w:hAnsi="Arial" w:eastAsia="仿宋_GB2312" w:cs="Arial"/>
                <w:color w:val="000000"/>
              </w:rPr>
            </w:pPr>
          </w:p>
        </w:tc>
        <w:tc>
          <w:tcPr>
            <w:tcW w:w="874" w:type="pct"/>
            <w:noWrap w:val="0"/>
            <w:vAlign w:val="top"/>
          </w:tcPr>
          <w:p w14:paraId="7B8FE18E">
            <w:pPr>
              <w:rPr>
                <w:color w:val="000000"/>
              </w:rPr>
            </w:pPr>
          </w:p>
        </w:tc>
        <w:tc>
          <w:tcPr>
            <w:tcW w:w="443" w:type="pct"/>
            <w:noWrap w:val="0"/>
            <w:vAlign w:val="center"/>
          </w:tcPr>
          <w:p w14:paraId="579E19ED">
            <w:pPr>
              <w:pStyle w:val="31"/>
              <w:jc w:val="center"/>
              <w:rPr>
                <w:rFonts w:ascii="Arial" w:hAnsi="Arial" w:eastAsia="仿宋_GB2312" w:cs="Arial"/>
                <w:color w:val="000000"/>
              </w:rPr>
            </w:pPr>
          </w:p>
        </w:tc>
        <w:tc>
          <w:tcPr>
            <w:tcW w:w="652" w:type="pct"/>
            <w:noWrap w:val="0"/>
            <w:vAlign w:val="center"/>
          </w:tcPr>
          <w:p w14:paraId="0FEB62DF">
            <w:pPr>
              <w:pStyle w:val="31"/>
              <w:jc w:val="center"/>
              <w:rPr>
                <w:rFonts w:ascii="Arial" w:hAnsi="Arial" w:eastAsia="仿宋_GB2312" w:cs="Arial"/>
                <w:color w:val="000000"/>
              </w:rPr>
            </w:pPr>
          </w:p>
        </w:tc>
        <w:tc>
          <w:tcPr>
            <w:tcW w:w="579" w:type="pct"/>
            <w:noWrap w:val="0"/>
            <w:vAlign w:val="center"/>
          </w:tcPr>
          <w:p w14:paraId="46292D6F">
            <w:pPr>
              <w:pStyle w:val="31"/>
              <w:jc w:val="center"/>
              <w:rPr>
                <w:rFonts w:ascii="Arial" w:hAnsi="Arial" w:eastAsia="仿宋_GB2312" w:cs="Arial"/>
                <w:color w:val="000000"/>
              </w:rPr>
            </w:pPr>
          </w:p>
        </w:tc>
        <w:tc>
          <w:tcPr>
            <w:tcW w:w="579" w:type="pct"/>
            <w:noWrap w:val="0"/>
            <w:vAlign w:val="center"/>
          </w:tcPr>
          <w:p w14:paraId="6AD988E2">
            <w:pPr>
              <w:pStyle w:val="31"/>
              <w:jc w:val="center"/>
              <w:rPr>
                <w:rFonts w:ascii="Arial" w:hAnsi="Arial" w:eastAsia="仿宋_GB2312" w:cs="Arial"/>
                <w:color w:val="000000"/>
              </w:rPr>
            </w:pPr>
          </w:p>
        </w:tc>
      </w:tr>
      <w:tr w14:paraId="50F5D5E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718" w:hRule="atLeast"/>
        </w:trPr>
        <w:tc>
          <w:tcPr>
            <w:tcW w:w="295" w:type="pct"/>
            <w:noWrap w:val="0"/>
            <w:vAlign w:val="center"/>
          </w:tcPr>
          <w:p w14:paraId="34D27DBB">
            <w:pPr>
              <w:pStyle w:val="31"/>
              <w:jc w:val="center"/>
              <w:rPr>
                <w:rFonts w:ascii="Arial" w:hAnsi="Arial" w:eastAsia="仿宋_GB2312" w:cs="Arial"/>
                <w:color w:val="000000"/>
              </w:rPr>
            </w:pPr>
          </w:p>
        </w:tc>
        <w:tc>
          <w:tcPr>
            <w:tcW w:w="965" w:type="pct"/>
            <w:noWrap w:val="0"/>
            <w:vAlign w:val="center"/>
          </w:tcPr>
          <w:p w14:paraId="5075AFE3">
            <w:pPr>
              <w:pStyle w:val="31"/>
              <w:jc w:val="center"/>
              <w:rPr>
                <w:rFonts w:ascii="Arial" w:hAnsi="Arial" w:eastAsia="仿宋_GB2312" w:cs="Arial"/>
                <w:color w:val="000000"/>
              </w:rPr>
            </w:pPr>
          </w:p>
        </w:tc>
        <w:tc>
          <w:tcPr>
            <w:tcW w:w="609" w:type="pct"/>
            <w:noWrap w:val="0"/>
            <w:vAlign w:val="center"/>
          </w:tcPr>
          <w:p w14:paraId="6C77B83C">
            <w:pPr>
              <w:pStyle w:val="31"/>
              <w:jc w:val="center"/>
              <w:rPr>
                <w:rFonts w:ascii="Arial" w:hAnsi="Arial" w:eastAsia="仿宋_GB2312" w:cs="Arial"/>
                <w:color w:val="000000"/>
              </w:rPr>
            </w:pPr>
          </w:p>
        </w:tc>
        <w:tc>
          <w:tcPr>
            <w:tcW w:w="874" w:type="pct"/>
            <w:noWrap w:val="0"/>
            <w:vAlign w:val="top"/>
          </w:tcPr>
          <w:p w14:paraId="27FF873F">
            <w:pPr>
              <w:rPr>
                <w:color w:val="000000"/>
              </w:rPr>
            </w:pPr>
          </w:p>
        </w:tc>
        <w:tc>
          <w:tcPr>
            <w:tcW w:w="443" w:type="pct"/>
            <w:noWrap w:val="0"/>
            <w:vAlign w:val="center"/>
          </w:tcPr>
          <w:p w14:paraId="79942D63">
            <w:pPr>
              <w:pStyle w:val="31"/>
              <w:jc w:val="center"/>
              <w:rPr>
                <w:rFonts w:ascii="Arial" w:hAnsi="Arial" w:eastAsia="仿宋_GB2312" w:cs="Arial"/>
                <w:color w:val="000000"/>
              </w:rPr>
            </w:pPr>
          </w:p>
        </w:tc>
        <w:tc>
          <w:tcPr>
            <w:tcW w:w="652" w:type="pct"/>
            <w:noWrap w:val="0"/>
            <w:vAlign w:val="center"/>
          </w:tcPr>
          <w:p w14:paraId="4EF55211">
            <w:pPr>
              <w:pStyle w:val="31"/>
              <w:jc w:val="center"/>
              <w:rPr>
                <w:rFonts w:ascii="Arial" w:hAnsi="Arial" w:eastAsia="仿宋_GB2312" w:cs="Arial"/>
                <w:color w:val="000000"/>
              </w:rPr>
            </w:pPr>
          </w:p>
        </w:tc>
        <w:tc>
          <w:tcPr>
            <w:tcW w:w="579" w:type="pct"/>
            <w:noWrap w:val="0"/>
            <w:vAlign w:val="center"/>
          </w:tcPr>
          <w:p w14:paraId="26DB7FF3">
            <w:pPr>
              <w:pStyle w:val="31"/>
              <w:jc w:val="center"/>
              <w:rPr>
                <w:rFonts w:ascii="Arial" w:hAnsi="Arial" w:eastAsia="仿宋_GB2312" w:cs="Arial"/>
                <w:color w:val="000000"/>
              </w:rPr>
            </w:pPr>
          </w:p>
        </w:tc>
        <w:tc>
          <w:tcPr>
            <w:tcW w:w="579" w:type="pct"/>
            <w:noWrap w:val="0"/>
            <w:vAlign w:val="center"/>
          </w:tcPr>
          <w:p w14:paraId="573CA19A">
            <w:pPr>
              <w:pStyle w:val="31"/>
              <w:jc w:val="center"/>
              <w:rPr>
                <w:rFonts w:ascii="Arial" w:hAnsi="Arial" w:eastAsia="仿宋_GB2312" w:cs="Arial"/>
                <w:color w:val="000000"/>
              </w:rPr>
            </w:pPr>
          </w:p>
        </w:tc>
      </w:tr>
      <w:tr w14:paraId="35B86C22">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613" w:hRule="atLeast"/>
        </w:trPr>
        <w:tc>
          <w:tcPr>
            <w:tcW w:w="295" w:type="pct"/>
            <w:noWrap w:val="0"/>
            <w:vAlign w:val="center"/>
          </w:tcPr>
          <w:p w14:paraId="2DF3AE18">
            <w:pPr>
              <w:pStyle w:val="31"/>
              <w:jc w:val="center"/>
              <w:rPr>
                <w:rFonts w:ascii="Arial" w:hAnsi="Arial" w:eastAsia="仿宋_GB2312" w:cs="Arial"/>
                <w:color w:val="000000"/>
              </w:rPr>
            </w:pPr>
          </w:p>
        </w:tc>
        <w:tc>
          <w:tcPr>
            <w:tcW w:w="965" w:type="pct"/>
            <w:noWrap w:val="0"/>
            <w:vAlign w:val="center"/>
          </w:tcPr>
          <w:p w14:paraId="73E9E974">
            <w:pPr>
              <w:pStyle w:val="31"/>
              <w:jc w:val="center"/>
              <w:rPr>
                <w:rFonts w:ascii="Arial" w:hAnsi="Arial" w:eastAsia="仿宋_GB2312" w:cs="Arial"/>
                <w:color w:val="000000"/>
              </w:rPr>
            </w:pPr>
          </w:p>
        </w:tc>
        <w:tc>
          <w:tcPr>
            <w:tcW w:w="609" w:type="pct"/>
            <w:noWrap w:val="0"/>
            <w:vAlign w:val="center"/>
          </w:tcPr>
          <w:p w14:paraId="7C6131FD">
            <w:pPr>
              <w:pStyle w:val="31"/>
              <w:jc w:val="center"/>
              <w:rPr>
                <w:rFonts w:ascii="Arial" w:hAnsi="Arial" w:eastAsia="仿宋_GB2312" w:cs="Arial"/>
                <w:color w:val="000000"/>
              </w:rPr>
            </w:pPr>
          </w:p>
        </w:tc>
        <w:tc>
          <w:tcPr>
            <w:tcW w:w="874" w:type="pct"/>
            <w:noWrap w:val="0"/>
            <w:vAlign w:val="top"/>
          </w:tcPr>
          <w:p w14:paraId="44CA0F96">
            <w:pPr>
              <w:rPr>
                <w:color w:val="000000"/>
              </w:rPr>
            </w:pPr>
          </w:p>
        </w:tc>
        <w:tc>
          <w:tcPr>
            <w:tcW w:w="443" w:type="pct"/>
            <w:noWrap w:val="0"/>
            <w:vAlign w:val="center"/>
          </w:tcPr>
          <w:p w14:paraId="4481FDB2">
            <w:pPr>
              <w:pStyle w:val="31"/>
              <w:jc w:val="center"/>
              <w:rPr>
                <w:rFonts w:ascii="Arial" w:hAnsi="Arial" w:eastAsia="仿宋_GB2312" w:cs="Arial"/>
                <w:color w:val="000000"/>
              </w:rPr>
            </w:pPr>
          </w:p>
        </w:tc>
        <w:tc>
          <w:tcPr>
            <w:tcW w:w="652" w:type="pct"/>
            <w:noWrap w:val="0"/>
            <w:vAlign w:val="center"/>
          </w:tcPr>
          <w:p w14:paraId="6AD54EBE">
            <w:pPr>
              <w:pStyle w:val="31"/>
              <w:jc w:val="center"/>
              <w:rPr>
                <w:rFonts w:ascii="Arial" w:hAnsi="Arial" w:eastAsia="仿宋_GB2312" w:cs="Arial"/>
                <w:color w:val="000000"/>
              </w:rPr>
            </w:pPr>
          </w:p>
        </w:tc>
        <w:tc>
          <w:tcPr>
            <w:tcW w:w="579" w:type="pct"/>
            <w:noWrap w:val="0"/>
            <w:vAlign w:val="center"/>
          </w:tcPr>
          <w:p w14:paraId="76902609">
            <w:pPr>
              <w:pStyle w:val="31"/>
              <w:jc w:val="center"/>
              <w:rPr>
                <w:rFonts w:ascii="Arial" w:hAnsi="Arial" w:eastAsia="仿宋_GB2312" w:cs="Arial"/>
                <w:color w:val="000000"/>
              </w:rPr>
            </w:pPr>
          </w:p>
        </w:tc>
        <w:tc>
          <w:tcPr>
            <w:tcW w:w="579" w:type="pct"/>
            <w:noWrap w:val="0"/>
            <w:vAlign w:val="center"/>
          </w:tcPr>
          <w:p w14:paraId="54841A16">
            <w:pPr>
              <w:pStyle w:val="31"/>
              <w:jc w:val="center"/>
              <w:rPr>
                <w:rFonts w:ascii="Arial" w:hAnsi="Arial" w:eastAsia="仿宋_GB2312" w:cs="Arial"/>
                <w:color w:val="000000"/>
              </w:rPr>
            </w:pPr>
          </w:p>
        </w:tc>
      </w:tr>
      <w:tr w14:paraId="78FF40F5">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4" w:hRule="atLeast"/>
        </w:trPr>
        <w:tc>
          <w:tcPr>
            <w:tcW w:w="295" w:type="pct"/>
            <w:noWrap w:val="0"/>
            <w:vAlign w:val="center"/>
          </w:tcPr>
          <w:p w14:paraId="43E27F66">
            <w:pPr>
              <w:pStyle w:val="31"/>
              <w:jc w:val="center"/>
              <w:rPr>
                <w:rFonts w:ascii="Arial" w:hAnsi="Arial" w:eastAsia="仿宋_GB2312" w:cs="Arial"/>
                <w:color w:val="000000"/>
              </w:rPr>
            </w:pPr>
          </w:p>
        </w:tc>
        <w:tc>
          <w:tcPr>
            <w:tcW w:w="965" w:type="pct"/>
            <w:noWrap w:val="0"/>
            <w:vAlign w:val="center"/>
          </w:tcPr>
          <w:p w14:paraId="53BF6747">
            <w:pPr>
              <w:pStyle w:val="31"/>
              <w:jc w:val="center"/>
              <w:rPr>
                <w:rFonts w:ascii="Arial" w:hAnsi="Arial" w:eastAsia="仿宋_GB2312" w:cs="Arial"/>
                <w:color w:val="000000"/>
              </w:rPr>
            </w:pPr>
          </w:p>
        </w:tc>
        <w:tc>
          <w:tcPr>
            <w:tcW w:w="609" w:type="pct"/>
            <w:noWrap w:val="0"/>
            <w:vAlign w:val="center"/>
          </w:tcPr>
          <w:p w14:paraId="19F770FA">
            <w:pPr>
              <w:pStyle w:val="31"/>
              <w:jc w:val="center"/>
              <w:rPr>
                <w:rFonts w:ascii="Arial" w:hAnsi="Arial" w:eastAsia="仿宋_GB2312" w:cs="Arial"/>
                <w:color w:val="000000"/>
              </w:rPr>
            </w:pPr>
          </w:p>
        </w:tc>
        <w:tc>
          <w:tcPr>
            <w:tcW w:w="874" w:type="pct"/>
            <w:noWrap w:val="0"/>
            <w:vAlign w:val="top"/>
          </w:tcPr>
          <w:p w14:paraId="46BFF23F">
            <w:pPr>
              <w:rPr>
                <w:color w:val="000000"/>
              </w:rPr>
            </w:pPr>
          </w:p>
        </w:tc>
        <w:tc>
          <w:tcPr>
            <w:tcW w:w="443" w:type="pct"/>
            <w:noWrap w:val="0"/>
            <w:vAlign w:val="center"/>
          </w:tcPr>
          <w:p w14:paraId="42F83315">
            <w:pPr>
              <w:pStyle w:val="31"/>
              <w:jc w:val="center"/>
              <w:rPr>
                <w:rFonts w:ascii="Arial" w:hAnsi="Arial" w:eastAsia="仿宋_GB2312" w:cs="Arial"/>
                <w:color w:val="000000"/>
              </w:rPr>
            </w:pPr>
          </w:p>
        </w:tc>
        <w:tc>
          <w:tcPr>
            <w:tcW w:w="652" w:type="pct"/>
            <w:noWrap w:val="0"/>
            <w:vAlign w:val="center"/>
          </w:tcPr>
          <w:p w14:paraId="48CD45AE">
            <w:pPr>
              <w:pStyle w:val="31"/>
              <w:jc w:val="center"/>
              <w:rPr>
                <w:rFonts w:ascii="Arial" w:hAnsi="Arial" w:eastAsia="仿宋_GB2312" w:cs="Arial"/>
                <w:color w:val="000000"/>
              </w:rPr>
            </w:pPr>
          </w:p>
        </w:tc>
        <w:tc>
          <w:tcPr>
            <w:tcW w:w="579" w:type="pct"/>
            <w:noWrap w:val="0"/>
            <w:vAlign w:val="center"/>
          </w:tcPr>
          <w:p w14:paraId="46BFCD73">
            <w:pPr>
              <w:pStyle w:val="31"/>
              <w:jc w:val="center"/>
              <w:rPr>
                <w:rFonts w:ascii="Arial" w:hAnsi="Arial" w:eastAsia="仿宋_GB2312" w:cs="Arial"/>
                <w:color w:val="000000"/>
              </w:rPr>
            </w:pPr>
          </w:p>
        </w:tc>
        <w:tc>
          <w:tcPr>
            <w:tcW w:w="579" w:type="pct"/>
            <w:noWrap w:val="0"/>
            <w:vAlign w:val="center"/>
          </w:tcPr>
          <w:p w14:paraId="423E5FDC">
            <w:pPr>
              <w:pStyle w:val="31"/>
              <w:jc w:val="center"/>
              <w:rPr>
                <w:rFonts w:ascii="Arial" w:hAnsi="Arial" w:eastAsia="仿宋_GB2312" w:cs="Arial"/>
                <w:color w:val="000000"/>
              </w:rPr>
            </w:pPr>
          </w:p>
        </w:tc>
      </w:tr>
      <w:tr w14:paraId="79CBBE6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0" w:type="dxa"/>
            <w:left w:w="108" w:type="dxa"/>
            <w:bottom w:w="0" w:type="dxa"/>
            <w:right w:w="108" w:type="dxa"/>
          </w:tblCellMar>
        </w:tblPrEx>
        <w:trPr>
          <w:trHeight w:val="590" w:hRule="atLeast"/>
        </w:trPr>
        <w:tc>
          <w:tcPr>
            <w:tcW w:w="295" w:type="pct"/>
            <w:noWrap w:val="0"/>
            <w:vAlign w:val="center"/>
          </w:tcPr>
          <w:p w14:paraId="03A1F695">
            <w:pPr>
              <w:pStyle w:val="31"/>
              <w:jc w:val="center"/>
              <w:rPr>
                <w:rFonts w:ascii="Arial" w:hAnsi="Arial" w:eastAsia="仿宋_GB2312" w:cs="Arial"/>
                <w:color w:val="000000"/>
              </w:rPr>
            </w:pPr>
          </w:p>
        </w:tc>
        <w:tc>
          <w:tcPr>
            <w:tcW w:w="965" w:type="pct"/>
            <w:noWrap w:val="0"/>
            <w:vAlign w:val="center"/>
          </w:tcPr>
          <w:p w14:paraId="34F7B62C">
            <w:pPr>
              <w:pStyle w:val="31"/>
              <w:jc w:val="center"/>
              <w:rPr>
                <w:rFonts w:ascii="Arial" w:hAnsi="Arial" w:eastAsia="仿宋_GB2312" w:cs="Arial"/>
                <w:color w:val="000000"/>
              </w:rPr>
            </w:pPr>
          </w:p>
        </w:tc>
        <w:tc>
          <w:tcPr>
            <w:tcW w:w="609" w:type="pct"/>
            <w:noWrap w:val="0"/>
            <w:vAlign w:val="center"/>
          </w:tcPr>
          <w:p w14:paraId="4E782FBE">
            <w:pPr>
              <w:pStyle w:val="31"/>
              <w:jc w:val="center"/>
              <w:rPr>
                <w:rFonts w:ascii="Arial" w:hAnsi="Arial" w:eastAsia="仿宋_GB2312" w:cs="Arial"/>
                <w:color w:val="000000"/>
              </w:rPr>
            </w:pPr>
          </w:p>
        </w:tc>
        <w:tc>
          <w:tcPr>
            <w:tcW w:w="874" w:type="pct"/>
            <w:noWrap w:val="0"/>
            <w:vAlign w:val="top"/>
          </w:tcPr>
          <w:p w14:paraId="562D765D">
            <w:pPr>
              <w:rPr>
                <w:color w:val="000000"/>
              </w:rPr>
            </w:pPr>
          </w:p>
        </w:tc>
        <w:tc>
          <w:tcPr>
            <w:tcW w:w="443" w:type="pct"/>
            <w:noWrap w:val="0"/>
            <w:vAlign w:val="center"/>
          </w:tcPr>
          <w:p w14:paraId="4E95A94A">
            <w:pPr>
              <w:pStyle w:val="31"/>
              <w:jc w:val="center"/>
              <w:rPr>
                <w:rFonts w:ascii="Arial" w:hAnsi="Arial" w:eastAsia="仿宋_GB2312" w:cs="Arial"/>
                <w:color w:val="000000"/>
              </w:rPr>
            </w:pPr>
          </w:p>
        </w:tc>
        <w:tc>
          <w:tcPr>
            <w:tcW w:w="652" w:type="pct"/>
            <w:noWrap w:val="0"/>
            <w:vAlign w:val="center"/>
          </w:tcPr>
          <w:p w14:paraId="553914D0">
            <w:pPr>
              <w:pStyle w:val="31"/>
              <w:jc w:val="center"/>
              <w:rPr>
                <w:rFonts w:ascii="Arial" w:hAnsi="Arial" w:eastAsia="仿宋_GB2312" w:cs="Arial"/>
                <w:color w:val="000000"/>
              </w:rPr>
            </w:pPr>
          </w:p>
        </w:tc>
        <w:tc>
          <w:tcPr>
            <w:tcW w:w="579" w:type="pct"/>
            <w:noWrap w:val="0"/>
            <w:vAlign w:val="center"/>
          </w:tcPr>
          <w:p w14:paraId="39612BE2">
            <w:pPr>
              <w:pStyle w:val="31"/>
              <w:jc w:val="center"/>
              <w:rPr>
                <w:rFonts w:ascii="Arial" w:hAnsi="Arial" w:eastAsia="仿宋_GB2312" w:cs="Arial"/>
                <w:color w:val="000000"/>
              </w:rPr>
            </w:pPr>
          </w:p>
        </w:tc>
        <w:tc>
          <w:tcPr>
            <w:tcW w:w="579" w:type="pct"/>
            <w:noWrap w:val="0"/>
            <w:vAlign w:val="center"/>
          </w:tcPr>
          <w:p w14:paraId="513C9DA0">
            <w:pPr>
              <w:pStyle w:val="31"/>
              <w:jc w:val="center"/>
              <w:rPr>
                <w:rFonts w:ascii="Arial" w:hAnsi="Arial" w:eastAsia="仿宋_GB2312" w:cs="Arial"/>
                <w:color w:val="000000"/>
              </w:rPr>
            </w:pPr>
          </w:p>
        </w:tc>
      </w:tr>
    </w:tbl>
    <w:p w14:paraId="3BD48393">
      <w:pPr>
        <w:pStyle w:val="15"/>
        <w:ind w:firstLine="0"/>
        <w:rPr>
          <w:color w:val="000000"/>
        </w:rPr>
      </w:pPr>
    </w:p>
    <w:p w14:paraId="1FFDD0B0">
      <w:pPr>
        <w:spacing w:line="500" w:lineRule="exact"/>
        <w:ind w:firstLine="480" w:firstLineChars="200"/>
        <w:rPr>
          <w:rFonts w:hint="eastAsia" w:ascii="宋体" w:hAnsi="宋体" w:cs="宋体"/>
          <w:color w:val="000000"/>
          <w:sz w:val="24"/>
          <w:szCs w:val="28"/>
        </w:rPr>
      </w:pPr>
      <w:r>
        <w:rPr>
          <w:rFonts w:hint="eastAsia" w:ascii="宋体" w:hAnsi="宋体" w:cs="宋体"/>
          <w:color w:val="000000"/>
          <w:sz w:val="24"/>
          <w:szCs w:val="28"/>
        </w:rPr>
        <w:t>竞选人：                          法定代表人或法定代表人授权代表：</w:t>
      </w:r>
    </w:p>
    <w:p w14:paraId="007CB79F">
      <w:pPr>
        <w:spacing w:line="500" w:lineRule="exact"/>
        <w:rPr>
          <w:rFonts w:hint="eastAsia" w:ascii="宋体" w:hAnsi="宋体" w:cs="宋体"/>
          <w:color w:val="000000"/>
          <w:sz w:val="24"/>
          <w:szCs w:val="28"/>
        </w:rPr>
      </w:pPr>
      <w:r>
        <w:rPr>
          <w:rFonts w:hint="eastAsia" w:ascii="宋体" w:hAnsi="宋体" w:cs="宋体"/>
          <w:color w:val="000000"/>
          <w:sz w:val="24"/>
          <w:szCs w:val="28"/>
        </w:rPr>
        <w:t xml:space="preserve">  （竞选人公章）                               （签署或盖章）</w:t>
      </w:r>
    </w:p>
    <w:p w14:paraId="4A48763D">
      <w:pPr>
        <w:pStyle w:val="57"/>
        <w:rPr>
          <w:rFonts w:hint="eastAsia"/>
          <w:color w:val="000000"/>
        </w:rPr>
      </w:pPr>
    </w:p>
    <w:p w14:paraId="3AF8A876">
      <w:pPr>
        <w:rPr>
          <w:rFonts w:hint="eastAsia"/>
          <w:color w:val="000000"/>
        </w:rPr>
      </w:pPr>
    </w:p>
    <w:p w14:paraId="53E221BB">
      <w:pPr>
        <w:keepNext/>
        <w:keepLines/>
        <w:adjustRightInd w:val="0"/>
        <w:snapToGrid w:val="0"/>
        <w:rPr>
          <w:rFonts w:hint="eastAsia"/>
          <w:color w:val="000000"/>
        </w:rPr>
        <w:sectPr>
          <w:footerReference r:id="rId11" w:type="default"/>
          <w:pgSz w:w="11907" w:h="16840"/>
          <w:pgMar w:top="1134" w:right="1191" w:bottom="1134" w:left="1304" w:header="964" w:footer="992" w:gutter="0"/>
          <w:pgNumType w:fmt="numberInDash"/>
          <w:cols w:space="720" w:num="1"/>
          <w:docGrid w:linePitch="380" w:charSpace="-5735"/>
        </w:sectPr>
      </w:pPr>
      <w:r>
        <w:rPr>
          <w:rFonts w:hint="eastAsia" w:cs="宋体"/>
          <w:color w:val="000000"/>
          <w:sz w:val="24"/>
          <w:szCs w:val="28"/>
        </w:rPr>
        <w:t xml:space="preserve">                                            年     月   日  </w:t>
      </w:r>
    </w:p>
    <w:p w14:paraId="314C0D1B">
      <w:pPr>
        <w:pageBreakBefore/>
        <w:spacing w:line="500" w:lineRule="exact"/>
        <w:outlineLvl w:val="1"/>
        <w:rPr>
          <w:rFonts w:hint="eastAsia" w:cs="宋体"/>
          <w:b/>
          <w:color w:val="auto"/>
          <w:szCs w:val="28"/>
        </w:rPr>
      </w:pPr>
      <w:r>
        <w:rPr>
          <w:rFonts w:hint="eastAsia" w:cs="宋体"/>
          <w:b/>
          <w:color w:val="auto"/>
          <w:szCs w:val="28"/>
        </w:rPr>
        <w:t>二、</w:t>
      </w:r>
      <w:bookmarkEnd w:id="161"/>
      <w:bookmarkEnd w:id="162"/>
      <w:bookmarkEnd w:id="163"/>
      <w:bookmarkEnd w:id="164"/>
      <w:bookmarkEnd w:id="165"/>
      <w:bookmarkEnd w:id="166"/>
      <w:r>
        <w:rPr>
          <w:rFonts w:hint="eastAsia" w:cs="宋体"/>
          <w:b/>
          <w:color w:val="auto"/>
          <w:szCs w:val="28"/>
        </w:rPr>
        <w:t>技术（质量）文件</w:t>
      </w:r>
      <w:bookmarkEnd w:id="167"/>
      <w:bookmarkEnd w:id="168"/>
    </w:p>
    <w:bookmarkEnd w:id="169"/>
    <w:p w14:paraId="36307DC8">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（一）技术（质量）条款差异表</w:t>
      </w:r>
    </w:p>
    <w:tbl>
      <w:tblPr>
        <w:tblStyle w:val="59"/>
        <w:tblW w:w="499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18"/>
        <w:gridCol w:w="2394"/>
        <w:gridCol w:w="2930"/>
        <w:gridCol w:w="1549"/>
        <w:gridCol w:w="1727"/>
      </w:tblGrid>
      <w:tr w14:paraId="6C4296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529" w:type="pct"/>
            <w:noWrap w:val="0"/>
            <w:vAlign w:val="center"/>
          </w:tcPr>
          <w:p w14:paraId="68AEA85F">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序号</w:t>
            </w:r>
          </w:p>
        </w:tc>
        <w:tc>
          <w:tcPr>
            <w:tcW w:w="1244" w:type="pct"/>
            <w:noWrap w:val="0"/>
            <w:vAlign w:val="center"/>
          </w:tcPr>
          <w:p w14:paraId="5E76DDC1">
            <w:pPr>
              <w:tabs>
                <w:tab w:val="left" w:pos="6300"/>
              </w:tabs>
              <w:snapToGrid w:val="0"/>
              <w:spacing w:line="500" w:lineRule="exact"/>
              <w:rPr>
                <w:rFonts w:ascii="宋体" w:hAnsi="宋体" w:cs="宋体"/>
                <w:color w:val="auto"/>
                <w:sz w:val="24"/>
                <w:szCs w:val="24"/>
              </w:rPr>
            </w:pPr>
            <w:r>
              <w:rPr>
                <w:rFonts w:hint="eastAsia" w:ascii="宋体" w:hAnsi="宋体" w:cs="宋体"/>
                <w:color w:val="auto"/>
                <w:sz w:val="24"/>
                <w:szCs w:val="24"/>
              </w:rPr>
              <w:t>参数需求</w:t>
            </w:r>
          </w:p>
        </w:tc>
        <w:tc>
          <w:tcPr>
            <w:tcW w:w="1522" w:type="pct"/>
            <w:noWrap w:val="0"/>
            <w:vAlign w:val="center"/>
          </w:tcPr>
          <w:p w14:paraId="61AA30BC">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竞选应答</w:t>
            </w:r>
          </w:p>
        </w:tc>
        <w:tc>
          <w:tcPr>
            <w:tcW w:w="805" w:type="pct"/>
            <w:noWrap w:val="0"/>
            <w:vAlign w:val="center"/>
          </w:tcPr>
          <w:p w14:paraId="13892E0A">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偏离情况</w:t>
            </w:r>
          </w:p>
        </w:tc>
        <w:tc>
          <w:tcPr>
            <w:tcW w:w="897" w:type="pct"/>
            <w:noWrap w:val="0"/>
            <w:vAlign w:val="center"/>
          </w:tcPr>
          <w:p w14:paraId="430E51C3">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0E3FFD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518BABF3">
            <w:pPr>
              <w:tabs>
                <w:tab w:val="left" w:pos="6300"/>
              </w:tabs>
              <w:snapToGrid w:val="0"/>
              <w:spacing w:line="500" w:lineRule="exact"/>
              <w:ind w:firstLine="570"/>
              <w:rPr>
                <w:rFonts w:hint="eastAsia" w:ascii="宋体" w:hAnsi="宋体" w:cs="宋体"/>
                <w:color w:val="auto"/>
                <w:sz w:val="24"/>
                <w:szCs w:val="24"/>
              </w:rPr>
            </w:pPr>
          </w:p>
        </w:tc>
        <w:tc>
          <w:tcPr>
            <w:tcW w:w="1244" w:type="pct"/>
            <w:noWrap w:val="0"/>
            <w:vAlign w:val="center"/>
          </w:tcPr>
          <w:p w14:paraId="255988B0">
            <w:pPr>
              <w:tabs>
                <w:tab w:val="left" w:pos="6300"/>
              </w:tabs>
              <w:snapToGrid w:val="0"/>
              <w:spacing w:line="500" w:lineRule="exact"/>
              <w:ind w:firstLine="570"/>
              <w:rPr>
                <w:rFonts w:hint="eastAsia" w:ascii="宋体" w:hAnsi="宋体" w:cs="宋体"/>
                <w:color w:val="auto"/>
                <w:sz w:val="24"/>
                <w:szCs w:val="24"/>
              </w:rPr>
            </w:pPr>
          </w:p>
        </w:tc>
        <w:tc>
          <w:tcPr>
            <w:tcW w:w="1522" w:type="pct"/>
            <w:noWrap w:val="0"/>
            <w:vAlign w:val="center"/>
          </w:tcPr>
          <w:p w14:paraId="52C01525">
            <w:pPr>
              <w:tabs>
                <w:tab w:val="left" w:pos="6300"/>
              </w:tabs>
              <w:snapToGrid w:val="0"/>
              <w:spacing w:line="500" w:lineRule="exact"/>
              <w:rPr>
                <w:rFonts w:hint="eastAsia" w:ascii="宋体" w:hAnsi="宋体" w:cs="宋体"/>
                <w:color w:val="auto"/>
                <w:sz w:val="24"/>
                <w:szCs w:val="24"/>
              </w:rPr>
            </w:pPr>
            <w:r>
              <w:rPr>
                <w:rFonts w:hint="eastAsia" w:ascii="宋体" w:hAnsi="宋体" w:cs="宋体"/>
                <w:color w:val="auto"/>
                <w:sz w:val="24"/>
                <w:szCs w:val="24"/>
              </w:rPr>
              <w:t>提醒：请注明自身技术参数或具体内容，不得照搬参数需求</w:t>
            </w:r>
          </w:p>
        </w:tc>
        <w:tc>
          <w:tcPr>
            <w:tcW w:w="805" w:type="pct"/>
            <w:noWrap w:val="0"/>
            <w:vAlign w:val="center"/>
          </w:tcPr>
          <w:p w14:paraId="6C33BB2E">
            <w:pPr>
              <w:tabs>
                <w:tab w:val="left" w:pos="6300"/>
              </w:tabs>
              <w:snapToGrid w:val="0"/>
              <w:spacing w:line="500" w:lineRule="exact"/>
              <w:ind w:firstLine="570"/>
              <w:rPr>
                <w:rFonts w:hint="eastAsia" w:ascii="宋体" w:hAnsi="宋体" w:cs="宋体"/>
                <w:color w:val="auto"/>
                <w:sz w:val="24"/>
                <w:szCs w:val="24"/>
              </w:rPr>
            </w:pPr>
          </w:p>
        </w:tc>
        <w:tc>
          <w:tcPr>
            <w:tcW w:w="897" w:type="pct"/>
            <w:noWrap w:val="0"/>
            <w:vAlign w:val="center"/>
          </w:tcPr>
          <w:p w14:paraId="750CFEA4">
            <w:pPr>
              <w:tabs>
                <w:tab w:val="left" w:pos="6300"/>
              </w:tabs>
              <w:snapToGrid w:val="0"/>
              <w:spacing w:line="500" w:lineRule="exact"/>
              <w:ind w:firstLine="570"/>
              <w:rPr>
                <w:rFonts w:hint="eastAsia" w:ascii="宋体" w:hAnsi="宋体" w:cs="宋体"/>
                <w:color w:val="auto"/>
                <w:sz w:val="24"/>
                <w:szCs w:val="24"/>
              </w:rPr>
            </w:pPr>
          </w:p>
        </w:tc>
      </w:tr>
      <w:tr w14:paraId="54755D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68FC4C6E">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27036283">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84F7133">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7C47D5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59155CA">
            <w:pPr>
              <w:tabs>
                <w:tab w:val="left" w:pos="6300"/>
              </w:tabs>
              <w:snapToGrid w:val="0"/>
              <w:spacing w:line="500" w:lineRule="exact"/>
              <w:jc w:val="center"/>
              <w:rPr>
                <w:rFonts w:hint="eastAsia" w:ascii="宋体" w:hAnsi="宋体" w:cs="宋体"/>
                <w:color w:val="auto"/>
                <w:sz w:val="21"/>
                <w:szCs w:val="21"/>
              </w:rPr>
            </w:pPr>
          </w:p>
        </w:tc>
      </w:tr>
      <w:tr w14:paraId="60C561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A314BB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4D9AA2D">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1136A0A">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5B79D942">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4C29FF7A">
            <w:pPr>
              <w:tabs>
                <w:tab w:val="left" w:pos="6300"/>
              </w:tabs>
              <w:snapToGrid w:val="0"/>
              <w:spacing w:line="500" w:lineRule="exact"/>
              <w:jc w:val="center"/>
              <w:rPr>
                <w:rFonts w:hint="eastAsia" w:ascii="宋体" w:hAnsi="宋体" w:cs="宋体"/>
                <w:color w:val="auto"/>
                <w:sz w:val="21"/>
                <w:szCs w:val="21"/>
              </w:rPr>
            </w:pPr>
          </w:p>
        </w:tc>
      </w:tr>
      <w:tr w14:paraId="36E70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B47181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6F8A98A">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3AC3D2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8B07FC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62A3429">
            <w:pPr>
              <w:tabs>
                <w:tab w:val="left" w:pos="6300"/>
              </w:tabs>
              <w:snapToGrid w:val="0"/>
              <w:spacing w:line="500" w:lineRule="exact"/>
              <w:jc w:val="center"/>
              <w:rPr>
                <w:rFonts w:hint="eastAsia" w:ascii="宋体" w:hAnsi="宋体" w:cs="宋体"/>
                <w:color w:val="auto"/>
                <w:sz w:val="21"/>
                <w:szCs w:val="21"/>
              </w:rPr>
            </w:pPr>
          </w:p>
        </w:tc>
      </w:tr>
      <w:tr w14:paraId="0AF70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37E4831">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3442C157">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24599C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0596A5B6">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336949E4">
            <w:pPr>
              <w:tabs>
                <w:tab w:val="left" w:pos="6300"/>
              </w:tabs>
              <w:snapToGrid w:val="0"/>
              <w:spacing w:line="500" w:lineRule="exact"/>
              <w:jc w:val="center"/>
              <w:rPr>
                <w:rFonts w:hint="eastAsia" w:ascii="宋体" w:hAnsi="宋体" w:cs="宋体"/>
                <w:color w:val="auto"/>
                <w:sz w:val="21"/>
                <w:szCs w:val="21"/>
              </w:rPr>
            </w:pPr>
          </w:p>
        </w:tc>
      </w:tr>
      <w:tr w14:paraId="7CE3F5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53B3C85">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4A8D67C5">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59215C8C">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1F9EF54A">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013EFE57">
            <w:pPr>
              <w:tabs>
                <w:tab w:val="left" w:pos="6300"/>
              </w:tabs>
              <w:snapToGrid w:val="0"/>
              <w:spacing w:line="500" w:lineRule="exact"/>
              <w:jc w:val="center"/>
              <w:rPr>
                <w:rFonts w:hint="eastAsia" w:ascii="宋体" w:hAnsi="宋体" w:cs="宋体"/>
                <w:color w:val="auto"/>
                <w:sz w:val="21"/>
                <w:szCs w:val="21"/>
              </w:rPr>
            </w:pPr>
          </w:p>
        </w:tc>
      </w:tr>
      <w:tr w14:paraId="59CB7E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C831E5B">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081D098F">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12780997">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52DC0">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50C4B5A3">
            <w:pPr>
              <w:tabs>
                <w:tab w:val="left" w:pos="6300"/>
              </w:tabs>
              <w:snapToGrid w:val="0"/>
              <w:spacing w:line="500" w:lineRule="exact"/>
              <w:jc w:val="center"/>
              <w:rPr>
                <w:rFonts w:hint="eastAsia" w:ascii="宋体" w:hAnsi="宋体" w:cs="宋体"/>
                <w:color w:val="auto"/>
                <w:sz w:val="21"/>
                <w:szCs w:val="21"/>
              </w:rPr>
            </w:pPr>
          </w:p>
        </w:tc>
      </w:tr>
      <w:tr w14:paraId="5E8FD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3684BAE7">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AD3DD2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6F86E9A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656862F3">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462BE1A">
            <w:pPr>
              <w:tabs>
                <w:tab w:val="left" w:pos="6300"/>
              </w:tabs>
              <w:snapToGrid w:val="0"/>
              <w:spacing w:line="500" w:lineRule="exact"/>
              <w:jc w:val="center"/>
              <w:rPr>
                <w:rFonts w:hint="eastAsia" w:ascii="宋体" w:hAnsi="宋体" w:cs="宋体"/>
                <w:color w:val="auto"/>
                <w:sz w:val="21"/>
                <w:szCs w:val="21"/>
              </w:rPr>
            </w:pPr>
          </w:p>
        </w:tc>
      </w:tr>
      <w:tr w14:paraId="51DDC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169565A2">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650CC61C">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42D0A5DB">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4DE45AAD">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656BD277">
            <w:pPr>
              <w:tabs>
                <w:tab w:val="left" w:pos="6300"/>
              </w:tabs>
              <w:snapToGrid w:val="0"/>
              <w:spacing w:line="500" w:lineRule="exact"/>
              <w:jc w:val="center"/>
              <w:rPr>
                <w:rFonts w:hint="eastAsia" w:ascii="宋体" w:hAnsi="宋体" w:cs="宋体"/>
                <w:color w:val="auto"/>
                <w:sz w:val="21"/>
                <w:szCs w:val="21"/>
              </w:rPr>
            </w:pPr>
          </w:p>
        </w:tc>
      </w:tr>
      <w:tr w14:paraId="79DD4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529" w:type="pct"/>
            <w:noWrap w:val="0"/>
            <w:vAlign w:val="center"/>
          </w:tcPr>
          <w:p w14:paraId="4F2968E6">
            <w:pPr>
              <w:tabs>
                <w:tab w:val="left" w:pos="6300"/>
              </w:tabs>
              <w:snapToGrid w:val="0"/>
              <w:spacing w:line="500" w:lineRule="exact"/>
              <w:jc w:val="center"/>
              <w:rPr>
                <w:rFonts w:hint="eastAsia" w:ascii="宋体" w:hAnsi="宋体" w:cs="宋体"/>
                <w:color w:val="auto"/>
                <w:sz w:val="21"/>
                <w:szCs w:val="21"/>
              </w:rPr>
            </w:pPr>
          </w:p>
        </w:tc>
        <w:tc>
          <w:tcPr>
            <w:tcW w:w="1244" w:type="pct"/>
            <w:noWrap w:val="0"/>
            <w:vAlign w:val="center"/>
          </w:tcPr>
          <w:p w14:paraId="5759FD06">
            <w:pPr>
              <w:tabs>
                <w:tab w:val="left" w:pos="6300"/>
              </w:tabs>
              <w:snapToGrid w:val="0"/>
              <w:spacing w:line="500" w:lineRule="exact"/>
              <w:jc w:val="center"/>
              <w:rPr>
                <w:rFonts w:hint="eastAsia" w:ascii="宋体" w:hAnsi="宋体" w:cs="宋体"/>
                <w:color w:val="auto"/>
                <w:sz w:val="21"/>
                <w:szCs w:val="21"/>
              </w:rPr>
            </w:pPr>
          </w:p>
        </w:tc>
        <w:tc>
          <w:tcPr>
            <w:tcW w:w="1522" w:type="pct"/>
            <w:noWrap w:val="0"/>
            <w:vAlign w:val="center"/>
          </w:tcPr>
          <w:p w14:paraId="34E0D1F9">
            <w:pPr>
              <w:tabs>
                <w:tab w:val="left" w:pos="6300"/>
              </w:tabs>
              <w:snapToGrid w:val="0"/>
              <w:spacing w:line="500" w:lineRule="exact"/>
              <w:jc w:val="center"/>
              <w:rPr>
                <w:rFonts w:hint="eastAsia" w:ascii="宋体" w:hAnsi="宋体" w:cs="宋体"/>
                <w:color w:val="auto"/>
                <w:sz w:val="21"/>
                <w:szCs w:val="21"/>
              </w:rPr>
            </w:pPr>
          </w:p>
        </w:tc>
        <w:tc>
          <w:tcPr>
            <w:tcW w:w="805" w:type="pct"/>
            <w:noWrap w:val="0"/>
            <w:vAlign w:val="center"/>
          </w:tcPr>
          <w:p w14:paraId="3ED878C5">
            <w:pPr>
              <w:tabs>
                <w:tab w:val="left" w:pos="6300"/>
              </w:tabs>
              <w:snapToGrid w:val="0"/>
              <w:spacing w:line="500" w:lineRule="exact"/>
              <w:jc w:val="center"/>
              <w:rPr>
                <w:rFonts w:hint="eastAsia" w:ascii="宋体" w:hAnsi="宋体" w:cs="宋体"/>
                <w:color w:val="auto"/>
                <w:sz w:val="21"/>
                <w:szCs w:val="21"/>
              </w:rPr>
            </w:pPr>
          </w:p>
        </w:tc>
        <w:tc>
          <w:tcPr>
            <w:tcW w:w="897" w:type="pct"/>
            <w:noWrap w:val="0"/>
            <w:vAlign w:val="center"/>
          </w:tcPr>
          <w:p w14:paraId="2FF35F74">
            <w:pPr>
              <w:tabs>
                <w:tab w:val="left" w:pos="6300"/>
              </w:tabs>
              <w:snapToGrid w:val="0"/>
              <w:spacing w:line="500" w:lineRule="exact"/>
              <w:jc w:val="center"/>
              <w:rPr>
                <w:rFonts w:hint="eastAsia" w:ascii="宋体" w:hAnsi="宋体" w:cs="宋体"/>
                <w:color w:val="auto"/>
                <w:sz w:val="21"/>
                <w:szCs w:val="21"/>
              </w:rPr>
            </w:pPr>
          </w:p>
        </w:tc>
      </w:tr>
    </w:tbl>
    <w:p w14:paraId="476757FB">
      <w:pPr>
        <w:tabs>
          <w:tab w:val="left" w:pos="6300"/>
        </w:tabs>
        <w:snapToGrid w:val="0"/>
        <w:spacing w:line="400" w:lineRule="atLeast"/>
        <w:ind w:firstLine="570"/>
        <w:rPr>
          <w:rFonts w:hint="eastAsia" w:ascii="宋体" w:hAnsi="宋体" w:cs="宋体"/>
          <w:color w:val="auto"/>
          <w:sz w:val="24"/>
          <w:szCs w:val="24"/>
        </w:rPr>
      </w:pPr>
      <w:bookmarkStart w:id="177" w:name="_Toc20258"/>
      <w:bookmarkStart w:id="178" w:name="_Toc16487"/>
      <w:bookmarkStart w:id="179" w:name="_Toc76373910"/>
      <w:bookmarkStart w:id="180" w:name="_Toc411"/>
      <w:bookmarkStart w:id="181" w:name="_Toc492721039"/>
      <w:bookmarkStart w:id="182" w:name="_Toc12647"/>
      <w:bookmarkStart w:id="183" w:name="_Toc20875"/>
      <w:bookmarkStart w:id="184" w:name="_Toc493178791"/>
      <w:r>
        <w:rPr>
          <w:rFonts w:hint="eastAsia" w:ascii="宋体" w:hAnsi="宋体" w:cs="宋体"/>
          <w:color w:val="auto"/>
          <w:sz w:val="24"/>
        </w:rPr>
        <w:t>注：</w:t>
      </w:r>
      <w:r>
        <w:rPr>
          <w:rFonts w:hint="eastAsia" w:ascii="宋体" w:hAnsi="宋体" w:cs="宋体"/>
          <w:color w:val="auto"/>
          <w:sz w:val="24"/>
          <w:szCs w:val="24"/>
        </w:rPr>
        <w:t>1.本表即为对本项目“第二篇  项目技术（质量）及商务需求”中所列条款进行比较和响应；</w:t>
      </w:r>
    </w:p>
    <w:p w14:paraId="1C46497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DB6CB28">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FF7EF04">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4CF6D4F4">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w:t>
      </w:r>
      <w:r>
        <w:rPr>
          <w:rFonts w:hint="eastAsia" w:ascii="宋体" w:hAnsi="宋体" w:cs="宋体"/>
          <w:color w:val="auto"/>
          <w:sz w:val="24"/>
          <w:szCs w:val="28"/>
          <w:lang w:eastAsia="zh-CN"/>
        </w:rPr>
        <w:t>二</w:t>
      </w:r>
      <w:r>
        <w:rPr>
          <w:rFonts w:hint="eastAsia" w:ascii="宋体" w:hAnsi="宋体" w:cs="宋体"/>
          <w:color w:val="auto"/>
          <w:sz w:val="24"/>
          <w:szCs w:val="28"/>
        </w:rPr>
        <w:t>）其他技术（质量）资料</w:t>
      </w:r>
    </w:p>
    <w:p w14:paraId="7624DCA1">
      <w:pPr>
        <w:pStyle w:val="22"/>
        <w:rPr>
          <w:rFonts w:hint="eastAsia"/>
          <w:color w:val="auto"/>
        </w:rPr>
      </w:pPr>
    </w:p>
    <w:p w14:paraId="13FF7F72">
      <w:pPr>
        <w:tabs>
          <w:tab w:val="left" w:pos="6300"/>
        </w:tabs>
        <w:snapToGrid w:val="0"/>
        <w:spacing w:line="500" w:lineRule="exact"/>
        <w:rPr>
          <w:rFonts w:hint="eastAsia" w:ascii="宋体" w:hAnsi="宋体" w:cs="宋体"/>
          <w:color w:val="auto"/>
          <w:szCs w:val="24"/>
        </w:rPr>
      </w:pPr>
    </w:p>
    <w:p w14:paraId="68DB1A6C">
      <w:pPr>
        <w:pageBreakBefore/>
        <w:spacing w:line="500" w:lineRule="exact"/>
        <w:ind w:firstLine="562" w:firstLineChars="200"/>
        <w:outlineLvl w:val="1"/>
        <w:rPr>
          <w:rFonts w:hint="eastAsia" w:cs="宋体"/>
          <w:b/>
          <w:color w:val="auto"/>
          <w:szCs w:val="28"/>
        </w:rPr>
      </w:pPr>
      <w:bookmarkStart w:id="185" w:name="_Toc26764"/>
      <w:r>
        <w:rPr>
          <w:rFonts w:hint="eastAsia" w:cs="宋体"/>
          <w:b/>
          <w:color w:val="auto"/>
          <w:szCs w:val="28"/>
        </w:rPr>
        <w:t>三、商务文件</w:t>
      </w:r>
      <w:bookmarkEnd w:id="177"/>
      <w:bookmarkEnd w:id="178"/>
      <w:bookmarkEnd w:id="179"/>
      <w:bookmarkEnd w:id="180"/>
      <w:bookmarkEnd w:id="181"/>
      <w:bookmarkEnd w:id="182"/>
      <w:bookmarkEnd w:id="183"/>
      <w:bookmarkEnd w:id="184"/>
      <w:bookmarkEnd w:id="185"/>
    </w:p>
    <w:p w14:paraId="045D494B">
      <w:pPr>
        <w:snapToGrid w:val="0"/>
        <w:spacing w:before="120" w:beforeLines="50" w:line="500" w:lineRule="exact"/>
        <w:jc w:val="center"/>
        <w:rPr>
          <w:rFonts w:hint="eastAsia" w:ascii="宋体" w:hAnsi="宋体" w:cs="宋体"/>
          <w:color w:val="auto"/>
          <w:szCs w:val="28"/>
        </w:rPr>
      </w:pPr>
      <w:r>
        <w:rPr>
          <w:rFonts w:hint="eastAsia" w:ascii="宋体" w:hAnsi="宋体" w:cs="宋体"/>
          <w:color w:val="auto"/>
          <w:szCs w:val="28"/>
        </w:rPr>
        <w:t>（一）竞选函（格式）</w:t>
      </w:r>
    </w:p>
    <w:p w14:paraId="534CB714">
      <w:pPr>
        <w:spacing w:line="500" w:lineRule="exact"/>
        <w:rPr>
          <w:rFonts w:hint="eastAsia" w:ascii="宋体" w:hAnsi="宋体" w:cs="宋体"/>
          <w:color w:val="auto"/>
          <w:sz w:val="24"/>
          <w:szCs w:val="28"/>
        </w:rPr>
      </w:pPr>
    </w:p>
    <w:p w14:paraId="0C981451">
      <w:pPr>
        <w:spacing w:line="500" w:lineRule="exact"/>
        <w:ind w:firstLine="480" w:firstLineChars="200"/>
        <w:rPr>
          <w:rFonts w:hint="eastAsia" w:ascii="宋体" w:hAnsi="宋体" w:cs="宋体"/>
          <w:color w:val="auto"/>
          <w:sz w:val="24"/>
          <w:szCs w:val="28"/>
          <w:u w:val="single"/>
        </w:rPr>
      </w:pPr>
      <w:r>
        <w:rPr>
          <w:rFonts w:hint="eastAsia" w:ascii="宋体" w:hAnsi="宋体" w:cs="宋体"/>
          <w:color w:val="auto"/>
          <w:sz w:val="24"/>
          <w:szCs w:val="28"/>
        </w:rPr>
        <w:t>采购项目名称：</w:t>
      </w:r>
      <w:r>
        <w:rPr>
          <w:rFonts w:hint="eastAsia" w:ascii="宋体" w:hAnsi="宋体" w:cs="宋体"/>
          <w:color w:val="auto"/>
          <w:sz w:val="24"/>
          <w:szCs w:val="28"/>
          <w:u w:val="single"/>
        </w:rPr>
        <w:t xml:space="preserve">                                             </w:t>
      </w:r>
    </w:p>
    <w:p w14:paraId="64679A4C">
      <w:pPr>
        <w:spacing w:line="500" w:lineRule="exact"/>
        <w:rPr>
          <w:rFonts w:hint="eastAsia" w:ascii="宋体" w:hAnsi="宋体" w:cs="宋体"/>
          <w:color w:val="auto"/>
          <w:sz w:val="24"/>
          <w:szCs w:val="28"/>
        </w:rPr>
      </w:pPr>
    </w:p>
    <w:p w14:paraId="731A68CB">
      <w:pPr>
        <w:tabs>
          <w:tab w:val="left" w:pos="6300"/>
        </w:tabs>
        <w:snapToGrid w:val="0"/>
        <w:spacing w:line="360" w:lineRule="auto"/>
        <w:rPr>
          <w:rFonts w:hint="eastAsia" w:ascii="宋体" w:hAnsi="宋体" w:cs="宋体"/>
          <w:color w:val="auto"/>
          <w:sz w:val="24"/>
          <w:szCs w:val="28"/>
        </w:rPr>
      </w:pPr>
      <w:r>
        <w:rPr>
          <w:rFonts w:hint="eastAsia" w:ascii="宋体" w:hAnsi="宋体" w:cs="宋体"/>
          <w:color w:val="auto"/>
          <w:sz w:val="24"/>
          <w:szCs w:val="28"/>
        </w:rPr>
        <w:t>致：</w:t>
      </w:r>
      <w:r>
        <w:rPr>
          <w:rFonts w:hint="eastAsia" w:ascii="宋体" w:hAnsi="宋体" w:cs="宋体"/>
          <w:color w:val="auto"/>
          <w:sz w:val="24"/>
          <w:szCs w:val="28"/>
          <w:u w:val="single"/>
        </w:rPr>
        <w:t xml:space="preserve">                    </w:t>
      </w:r>
      <w:r>
        <w:rPr>
          <w:rFonts w:hint="eastAsia" w:ascii="宋体" w:hAnsi="宋体" w:cs="宋体"/>
          <w:color w:val="auto"/>
          <w:sz w:val="24"/>
          <w:szCs w:val="28"/>
        </w:rPr>
        <w:t>：</w:t>
      </w:r>
    </w:p>
    <w:p w14:paraId="2D89877F">
      <w:pPr>
        <w:snapToGrid w:val="0"/>
        <w:spacing w:before="120" w:beforeLines="50"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u w:val="single"/>
        </w:rPr>
        <w:t xml:space="preserve">                        </w:t>
      </w:r>
      <w:r>
        <w:rPr>
          <w:rFonts w:hint="eastAsia" w:ascii="宋体" w:hAnsi="宋体" w:cs="宋体"/>
          <w:color w:val="auto"/>
          <w:sz w:val="24"/>
          <w:szCs w:val="28"/>
        </w:rPr>
        <w:t>（竞选人名称）系中华人民共和国合法企业，注册地址：</w:t>
      </w:r>
      <w:r>
        <w:rPr>
          <w:rFonts w:hint="eastAsia" w:ascii="宋体" w:hAnsi="宋体" w:cs="宋体"/>
          <w:color w:val="auto"/>
          <w:sz w:val="24"/>
          <w:szCs w:val="28"/>
          <w:u w:val="single"/>
        </w:rPr>
        <w:t xml:space="preserve">                               </w:t>
      </w:r>
      <w:r>
        <w:rPr>
          <w:rFonts w:hint="eastAsia" w:ascii="宋体" w:hAnsi="宋体" w:cs="宋体"/>
          <w:color w:val="auto"/>
          <w:sz w:val="24"/>
          <w:szCs w:val="28"/>
        </w:rPr>
        <w:t>。我方就参加本次采购有关事项郑重声明如下：</w:t>
      </w:r>
    </w:p>
    <w:p w14:paraId="7285F687">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一、我方完全理解并接受该项目采购文件所有要求。</w:t>
      </w:r>
    </w:p>
    <w:p w14:paraId="6A562824">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二、我方提交的所有竞选文件、资料都是准确和真实的，如有虚假或隐瞒，我方愿意承担一切法律责任。</w:t>
      </w:r>
    </w:p>
    <w:p w14:paraId="2FC6C2F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三、我方承诺按照采购文件要求，提供采购项目的技术（质量）服务。</w:t>
      </w:r>
    </w:p>
    <w:p w14:paraId="78C68C2C">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四、我方按采购文件要求提交的竞选文件为：竞选文件正本1份，副本</w:t>
      </w:r>
      <w:r>
        <w:rPr>
          <w:rFonts w:hint="eastAsia" w:ascii="宋体" w:hAnsi="宋体" w:cs="宋体"/>
          <w:color w:val="auto"/>
          <w:sz w:val="24"/>
          <w:szCs w:val="28"/>
          <w:lang w:val="en-US" w:eastAsia="zh-CN"/>
        </w:rPr>
        <w:t>4</w:t>
      </w:r>
      <w:r>
        <w:rPr>
          <w:rFonts w:hint="eastAsia" w:ascii="宋体" w:hAnsi="宋体" w:cs="宋体"/>
          <w:color w:val="auto"/>
          <w:sz w:val="24"/>
          <w:szCs w:val="28"/>
        </w:rPr>
        <w:t>份。</w:t>
      </w:r>
    </w:p>
    <w:p w14:paraId="490561C1">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五、我方竞选报价为闭口价。即在竞选有效期和合同有效期内，该报价固定不变。</w:t>
      </w:r>
    </w:p>
    <w:p w14:paraId="63C96EAE">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六、如果我方中选，我方将履行采购文件中规定的各项要求以及我方竞选文件的各项承诺，按《中华人民共和国政府采购法》、《中华人民共和国民法典》及合同约定条款承担我方责任。</w:t>
      </w:r>
    </w:p>
    <w:p w14:paraId="31BF6322">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七、我方未</w:t>
      </w:r>
      <w:r>
        <w:rPr>
          <w:rFonts w:hint="eastAsia" w:ascii="宋体" w:hAnsi="宋体" w:cs="宋体"/>
          <w:color w:val="auto"/>
          <w:sz w:val="24"/>
          <w:szCs w:val="24"/>
        </w:rPr>
        <w:t>为采购项目提供整体设计、规范编制或者项目管理、监理、检测等服务。</w:t>
      </w:r>
    </w:p>
    <w:p w14:paraId="4A1C3496">
      <w:pPr>
        <w:tabs>
          <w:tab w:val="left" w:pos="6300"/>
        </w:tabs>
        <w:snapToGrid w:val="0"/>
        <w:spacing w:line="360" w:lineRule="auto"/>
        <w:ind w:firstLine="480" w:firstLineChars="200"/>
        <w:rPr>
          <w:rFonts w:hint="eastAsia" w:ascii="宋体" w:hAnsi="宋体" w:cs="宋体"/>
          <w:color w:val="auto"/>
          <w:sz w:val="24"/>
          <w:szCs w:val="28"/>
        </w:rPr>
      </w:pPr>
      <w:r>
        <w:rPr>
          <w:rFonts w:hint="eastAsia" w:ascii="宋体" w:hAnsi="宋体" w:cs="宋体"/>
          <w:color w:val="auto"/>
          <w:sz w:val="24"/>
          <w:szCs w:val="28"/>
        </w:rPr>
        <w:t>八、我方理解，最低报价不是中选的唯一条件。</w:t>
      </w:r>
    </w:p>
    <w:p w14:paraId="1B87C220">
      <w:pPr>
        <w:pStyle w:val="22"/>
        <w:spacing w:line="360" w:lineRule="auto"/>
        <w:rPr>
          <w:rFonts w:hint="default" w:eastAsia="仿宋_GB2312"/>
          <w:color w:val="auto"/>
          <w:lang w:val="en-US" w:eastAsia="zh-CN"/>
        </w:rPr>
      </w:pPr>
      <w:r>
        <w:rPr>
          <w:rFonts w:hint="eastAsia" w:ascii="宋体" w:hAnsi="宋体" w:cs="宋体"/>
          <w:color w:val="auto"/>
          <w:sz w:val="24"/>
          <w:szCs w:val="28"/>
          <w:lang w:val="en-US" w:eastAsia="zh-CN"/>
        </w:rPr>
        <w:t xml:space="preserve">  </w:t>
      </w:r>
      <w:r>
        <w:rPr>
          <w:rFonts w:hint="eastAsia" w:ascii="宋体" w:hAnsi="宋体" w:eastAsia="宋体" w:cs="宋体"/>
          <w:color w:val="auto"/>
          <w:sz w:val="24"/>
          <w:szCs w:val="28"/>
          <w:lang w:val="en-US" w:eastAsia="zh-CN"/>
        </w:rPr>
        <w:t xml:space="preserve">  九、</w:t>
      </w:r>
      <w:r>
        <w:rPr>
          <w:rFonts w:hint="eastAsia" w:ascii="宋体" w:hAnsi="宋体" w:eastAsia="宋体" w:cs="宋体"/>
          <w:color w:val="auto"/>
          <w:kern w:val="2"/>
          <w:sz w:val="24"/>
          <w:szCs w:val="28"/>
          <w:lang w:val="en-US" w:eastAsia="zh-CN" w:bidi="ar-SA"/>
        </w:rPr>
        <w:t>本竞选人郑重承诺，在参与 2026年</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月</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日</w:t>
      </w:r>
      <w:r>
        <w:rPr>
          <w:rFonts w:hint="eastAsia" w:ascii="宋体" w:hAnsi="宋体" w:eastAsia="宋体" w:cs="宋体"/>
          <w:color w:val="auto"/>
          <w:kern w:val="2"/>
          <w:sz w:val="24"/>
          <w:szCs w:val="28"/>
          <w:u w:val="single"/>
          <w:lang w:val="en-US" w:eastAsia="zh-CN" w:bidi="ar-SA"/>
        </w:rPr>
        <w:t xml:space="preserve">                     </w:t>
      </w:r>
      <w:r>
        <w:rPr>
          <w:rFonts w:hint="eastAsia" w:ascii="宋体" w:hAnsi="宋体" w:eastAsia="宋体" w:cs="宋体"/>
          <w:color w:val="auto"/>
          <w:kern w:val="2"/>
          <w:sz w:val="24"/>
          <w:szCs w:val="28"/>
          <w:lang w:val="en-US" w:eastAsia="zh-CN" w:bidi="ar-SA"/>
        </w:rPr>
        <w:t>项目中，不存在与其他竞选人进行串标、围标等不法的行为，以及与其他竞选人之间不存在负责人为同一人或任何控股、管理及其他形式的关联关系。</w:t>
      </w:r>
    </w:p>
    <w:p w14:paraId="5022AB18">
      <w:pPr>
        <w:tabs>
          <w:tab w:val="left" w:pos="6300"/>
        </w:tabs>
        <w:snapToGrid w:val="0"/>
        <w:spacing w:line="500" w:lineRule="exact"/>
        <w:ind w:firstLine="570"/>
        <w:rPr>
          <w:rFonts w:hint="eastAsia" w:ascii="宋体" w:hAnsi="宋体" w:cs="宋体"/>
          <w:color w:val="auto"/>
          <w:sz w:val="24"/>
          <w:szCs w:val="28"/>
        </w:rPr>
      </w:pPr>
    </w:p>
    <w:p w14:paraId="619D24EE">
      <w:pPr>
        <w:tabs>
          <w:tab w:val="left" w:pos="6300"/>
        </w:tabs>
        <w:snapToGrid w:val="0"/>
        <w:spacing w:line="500" w:lineRule="exact"/>
        <w:ind w:firstLine="5460" w:firstLineChars="2275"/>
        <w:rPr>
          <w:rFonts w:hint="eastAsia" w:ascii="宋体" w:hAnsi="宋体" w:cs="宋体"/>
          <w:color w:val="auto"/>
          <w:sz w:val="24"/>
          <w:szCs w:val="28"/>
        </w:rPr>
      </w:pPr>
      <w:r>
        <w:rPr>
          <w:rFonts w:hint="eastAsia" w:ascii="宋体" w:hAnsi="宋体" w:cs="宋体"/>
          <w:color w:val="auto"/>
          <w:sz w:val="24"/>
          <w:szCs w:val="28"/>
        </w:rPr>
        <w:t>（竞选人公章或自然人签署）</w:t>
      </w:r>
    </w:p>
    <w:p w14:paraId="6D5529BC">
      <w:pPr>
        <w:tabs>
          <w:tab w:val="left" w:pos="6300"/>
        </w:tabs>
        <w:snapToGrid w:val="0"/>
        <w:spacing w:line="500" w:lineRule="exact"/>
        <w:ind w:firstLine="570"/>
        <w:rPr>
          <w:rFonts w:hint="eastAsia" w:ascii="宋体" w:hAnsi="宋体" w:cs="宋体"/>
          <w:color w:val="auto"/>
          <w:sz w:val="24"/>
          <w:szCs w:val="28"/>
        </w:rPr>
      </w:pPr>
    </w:p>
    <w:p w14:paraId="4A911109">
      <w:pPr>
        <w:tabs>
          <w:tab w:val="left" w:pos="6300"/>
        </w:tabs>
        <w:snapToGrid w:val="0"/>
        <w:spacing w:line="500" w:lineRule="exact"/>
        <w:ind w:firstLine="5760" w:firstLineChars="2400"/>
        <w:rPr>
          <w:rFonts w:hint="eastAsia" w:ascii="宋体" w:hAnsi="宋体" w:cs="宋体"/>
          <w:color w:val="auto"/>
          <w:szCs w:val="28"/>
        </w:rPr>
      </w:pPr>
      <w:r>
        <w:rPr>
          <w:rFonts w:hint="eastAsia" w:ascii="宋体" w:hAnsi="宋体" w:cs="宋体"/>
          <w:color w:val="auto"/>
          <w:sz w:val="24"/>
          <w:szCs w:val="28"/>
        </w:rPr>
        <w:t>年    月   日</w:t>
      </w:r>
    </w:p>
    <w:p w14:paraId="422015E9">
      <w:pPr>
        <w:snapToGrid w:val="0"/>
        <w:spacing w:line="400" w:lineRule="exact"/>
        <w:ind w:firstLine="560" w:firstLineChars="200"/>
        <w:rPr>
          <w:rFonts w:hint="eastAsia" w:ascii="宋体" w:hAnsi="宋体" w:cs="宋体"/>
          <w:color w:val="auto"/>
          <w:sz w:val="24"/>
          <w:szCs w:val="28"/>
        </w:rPr>
      </w:pPr>
      <w:r>
        <w:rPr>
          <w:rFonts w:hint="eastAsia" w:ascii="宋体" w:hAnsi="宋体" w:cs="宋体"/>
          <w:color w:val="auto"/>
          <w:szCs w:val="44"/>
        </w:rPr>
        <w:br w:type="page"/>
      </w:r>
      <w:r>
        <w:rPr>
          <w:rFonts w:hint="eastAsia" w:ascii="宋体" w:hAnsi="宋体" w:cs="宋体"/>
          <w:color w:val="auto"/>
          <w:sz w:val="24"/>
          <w:szCs w:val="28"/>
        </w:rPr>
        <w:t>（二）商务条款差异表</w:t>
      </w:r>
    </w:p>
    <w:tbl>
      <w:tblPr>
        <w:tblStyle w:val="59"/>
        <w:tblW w:w="499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24"/>
        <w:gridCol w:w="2392"/>
        <w:gridCol w:w="3066"/>
        <w:gridCol w:w="1479"/>
        <w:gridCol w:w="1659"/>
      </w:tblGrid>
      <w:tr w14:paraId="3AD6F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1024" w:type="dxa"/>
            <w:noWrap w:val="0"/>
            <w:vAlign w:val="center"/>
          </w:tcPr>
          <w:p w14:paraId="6D24699A">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序号</w:t>
            </w:r>
          </w:p>
        </w:tc>
        <w:tc>
          <w:tcPr>
            <w:tcW w:w="2393" w:type="dxa"/>
            <w:noWrap w:val="0"/>
            <w:vAlign w:val="center"/>
          </w:tcPr>
          <w:p w14:paraId="20835815">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商务需求</w:t>
            </w:r>
          </w:p>
        </w:tc>
        <w:tc>
          <w:tcPr>
            <w:tcW w:w="3067" w:type="dxa"/>
            <w:noWrap w:val="0"/>
            <w:vAlign w:val="center"/>
          </w:tcPr>
          <w:p w14:paraId="52A95F47">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竞选应答</w:t>
            </w:r>
          </w:p>
        </w:tc>
        <w:tc>
          <w:tcPr>
            <w:tcW w:w="1479" w:type="dxa"/>
            <w:noWrap w:val="0"/>
            <w:vAlign w:val="center"/>
          </w:tcPr>
          <w:p w14:paraId="6A872E7D">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rPr>
              <w:t>偏离情况</w:t>
            </w:r>
          </w:p>
        </w:tc>
        <w:tc>
          <w:tcPr>
            <w:tcW w:w="1659" w:type="dxa"/>
            <w:noWrap w:val="0"/>
            <w:vAlign w:val="center"/>
          </w:tcPr>
          <w:p w14:paraId="1F092854">
            <w:pPr>
              <w:tabs>
                <w:tab w:val="left" w:pos="6300"/>
              </w:tabs>
              <w:snapToGrid w:val="0"/>
              <w:spacing w:line="500" w:lineRule="exact"/>
              <w:rPr>
                <w:rFonts w:hint="eastAsia" w:ascii="宋体" w:hAnsi="宋体" w:cs="宋体"/>
                <w:color w:val="auto"/>
                <w:sz w:val="21"/>
                <w:szCs w:val="21"/>
              </w:rPr>
            </w:pPr>
            <w:r>
              <w:rPr>
                <w:rFonts w:hint="eastAsia" w:ascii="宋体" w:hAnsi="宋体" w:cs="宋体"/>
                <w:color w:val="auto"/>
                <w:sz w:val="24"/>
                <w:szCs w:val="24"/>
                <w:lang w:val="zh-TW" w:eastAsia="zh-TW"/>
              </w:rPr>
              <w:t>佐证材料对应</w:t>
            </w:r>
            <w:r>
              <w:rPr>
                <w:rFonts w:hint="eastAsia" w:ascii="宋体" w:hAnsi="宋体" w:cs="宋体"/>
                <w:color w:val="auto"/>
                <w:sz w:val="24"/>
                <w:szCs w:val="24"/>
              </w:rPr>
              <w:t>竞选</w:t>
            </w:r>
            <w:r>
              <w:rPr>
                <w:rFonts w:hint="eastAsia" w:ascii="宋体" w:hAnsi="宋体" w:cs="宋体"/>
                <w:color w:val="auto"/>
                <w:sz w:val="24"/>
                <w:szCs w:val="24"/>
                <w:lang w:val="zh-TW" w:eastAsia="zh-TW"/>
              </w:rPr>
              <w:t>文件页码</w:t>
            </w:r>
          </w:p>
        </w:tc>
      </w:tr>
      <w:tr w14:paraId="7D5AC3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C0C0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F209917">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CAE0E9A">
            <w:pPr>
              <w:tabs>
                <w:tab w:val="left" w:pos="6300"/>
              </w:tabs>
              <w:snapToGrid w:val="0"/>
              <w:spacing w:line="500" w:lineRule="exact"/>
              <w:jc w:val="center"/>
              <w:rPr>
                <w:rFonts w:hint="eastAsia" w:ascii="宋体" w:hAnsi="宋体" w:cs="宋体"/>
                <w:color w:val="auto"/>
                <w:sz w:val="21"/>
                <w:szCs w:val="21"/>
              </w:rPr>
            </w:pPr>
            <w:r>
              <w:rPr>
                <w:rFonts w:hint="eastAsia" w:ascii="宋体" w:hAnsi="宋体" w:cs="宋体"/>
                <w:color w:val="auto"/>
                <w:sz w:val="21"/>
                <w:szCs w:val="21"/>
              </w:rPr>
              <w:t>提醒：请根据自身商务能力，注明具体内容以及竞选文件中具体内容的位置（页码）</w:t>
            </w:r>
          </w:p>
        </w:tc>
        <w:tc>
          <w:tcPr>
            <w:tcW w:w="1479" w:type="dxa"/>
            <w:noWrap w:val="0"/>
            <w:vAlign w:val="center"/>
          </w:tcPr>
          <w:p w14:paraId="4497A6D0">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231A559">
            <w:pPr>
              <w:tabs>
                <w:tab w:val="left" w:pos="6300"/>
              </w:tabs>
              <w:snapToGrid w:val="0"/>
              <w:spacing w:line="500" w:lineRule="exact"/>
              <w:jc w:val="center"/>
              <w:rPr>
                <w:rFonts w:hint="eastAsia" w:ascii="宋体" w:hAnsi="宋体" w:cs="宋体"/>
                <w:color w:val="auto"/>
                <w:sz w:val="21"/>
                <w:szCs w:val="21"/>
              </w:rPr>
            </w:pPr>
          </w:p>
        </w:tc>
      </w:tr>
      <w:tr w14:paraId="6A4467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6E4E7040">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16B8C40D">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3D0616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4D8602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152CDA91">
            <w:pPr>
              <w:tabs>
                <w:tab w:val="left" w:pos="6300"/>
              </w:tabs>
              <w:snapToGrid w:val="0"/>
              <w:spacing w:line="500" w:lineRule="exact"/>
              <w:jc w:val="center"/>
              <w:rPr>
                <w:rFonts w:hint="eastAsia" w:ascii="宋体" w:hAnsi="宋体" w:cs="宋体"/>
                <w:color w:val="auto"/>
                <w:sz w:val="21"/>
                <w:szCs w:val="21"/>
              </w:rPr>
            </w:pPr>
          </w:p>
        </w:tc>
      </w:tr>
      <w:tr w14:paraId="4B0BBC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0B2AD82D">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ED15678">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1C3671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BC35D6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4B5F4CD">
            <w:pPr>
              <w:tabs>
                <w:tab w:val="left" w:pos="6300"/>
              </w:tabs>
              <w:snapToGrid w:val="0"/>
              <w:spacing w:line="500" w:lineRule="exact"/>
              <w:jc w:val="center"/>
              <w:rPr>
                <w:rFonts w:hint="eastAsia" w:ascii="宋体" w:hAnsi="宋体" w:cs="宋体"/>
                <w:color w:val="auto"/>
                <w:sz w:val="21"/>
                <w:szCs w:val="21"/>
              </w:rPr>
            </w:pPr>
          </w:p>
        </w:tc>
      </w:tr>
      <w:tr w14:paraId="1C8A8A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50422F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87499C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2F1C2533">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29B3D9C">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61FE7F2">
            <w:pPr>
              <w:tabs>
                <w:tab w:val="left" w:pos="6300"/>
              </w:tabs>
              <w:snapToGrid w:val="0"/>
              <w:spacing w:line="500" w:lineRule="exact"/>
              <w:jc w:val="center"/>
              <w:rPr>
                <w:rFonts w:hint="eastAsia" w:ascii="宋体" w:hAnsi="宋体" w:cs="宋体"/>
                <w:color w:val="auto"/>
                <w:sz w:val="21"/>
                <w:szCs w:val="21"/>
              </w:rPr>
            </w:pPr>
          </w:p>
        </w:tc>
      </w:tr>
      <w:tr w14:paraId="6345E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4D6A062">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0A6CB41B">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EBBEE68">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2DA4ED2">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6C76F052">
            <w:pPr>
              <w:tabs>
                <w:tab w:val="left" w:pos="6300"/>
              </w:tabs>
              <w:snapToGrid w:val="0"/>
              <w:spacing w:line="500" w:lineRule="exact"/>
              <w:jc w:val="center"/>
              <w:rPr>
                <w:rFonts w:hint="eastAsia" w:ascii="宋体" w:hAnsi="宋体" w:cs="宋体"/>
                <w:color w:val="auto"/>
                <w:sz w:val="21"/>
                <w:szCs w:val="21"/>
              </w:rPr>
            </w:pPr>
          </w:p>
        </w:tc>
      </w:tr>
      <w:tr w14:paraId="077823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31EC60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F077AB5">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6E5F0CEB">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25B4C03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70463C4">
            <w:pPr>
              <w:tabs>
                <w:tab w:val="left" w:pos="6300"/>
              </w:tabs>
              <w:snapToGrid w:val="0"/>
              <w:spacing w:line="500" w:lineRule="exact"/>
              <w:jc w:val="center"/>
              <w:rPr>
                <w:rFonts w:hint="eastAsia" w:ascii="宋体" w:hAnsi="宋体" w:cs="宋体"/>
                <w:color w:val="auto"/>
                <w:sz w:val="21"/>
                <w:szCs w:val="21"/>
              </w:rPr>
            </w:pPr>
          </w:p>
        </w:tc>
      </w:tr>
      <w:tr w14:paraId="163D76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207DBE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895CB3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45F4B9E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615B6A1">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208D819">
            <w:pPr>
              <w:tabs>
                <w:tab w:val="left" w:pos="6300"/>
              </w:tabs>
              <w:snapToGrid w:val="0"/>
              <w:spacing w:line="500" w:lineRule="exact"/>
              <w:jc w:val="center"/>
              <w:rPr>
                <w:rFonts w:hint="eastAsia" w:ascii="宋体" w:hAnsi="宋体" w:cs="宋体"/>
                <w:color w:val="auto"/>
                <w:sz w:val="21"/>
                <w:szCs w:val="21"/>
              </w:rPr>
            </w:pPr>
          </w:p>
        </w:tc>
      </w:tr>
      <w:tr w14:paraId="42CE4F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1162AB26">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E78E9A6">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72B8076">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1B29378E">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2C45C2B6">
            <w:pPr>
              <w:tabs>
                <w:tab w:val="left" w:pos="6300"/>
              </w:tabs>
              <w:snapToGrid w:val="0"/>
              <w:spacing w:line="500" w:lineRule="exact"/>
              <w:jc w:val="center"/>
              <w:rPr>
                <w:rFonts w:hint="eastAsia" w:ascii="宋体" w:hAnsi="宋体" w:cs="宋体"/>
                <w:color w:val="auto"/>
                <w:sz w:val="21"/>
                <w:szCs w:val="21"/>
              </w:rPr>
            </w:pPr>
          </w:p>
        </w:tc>
      </w:tr>
      <w:tr w14:paraId="39D8F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5F14B5">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7CF04C90">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4A009E">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00978895">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5FD399C6">
            <w:pPr>
              <w:tabs>
                <w:tab w:val="left" w:pos="6300"/>
              </w:tabs>
              <w:snapToGrid w:val="0"/>
              <w:spacing w:line="500" w:lineRule="exact"/>
              <w:jc w:val="center"/>
              <w:rPr>
                <w:rFonts w:hint="eastAsia" w:ascii="宋体" w:hAnsi="宋体" w:cs="宋体"/>
                <w:color w:val="auto"/>
                <w:sz w:val="21"/>
                <w:szCs w:val="21"/>
              </w:rPr>
            </w:pPr>
          </w:p>
        </w:tc>
      </w:tr>
      <w:tr w14:paraId="02C235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EC6593F">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61E11A0C">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19065D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64A3DF84">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F58987D">
            <w:pPr>
              <w:tabs>
                <w:tab w:val="left" w:pos="6300"/>
              </w:tabs>
              <w:snapToGrid w:val="0"/>
              <w:spacing w:line="500" w:lineRule="exact"/>
              <w:jc w:val="center"/>
              <w:rPr>
                <w:rFonts w:hint="eastAsia" w:ascii="宋体" w:hAnsi="宋体" w:cs="宋体"/>
                <w:color w:val="auto"/>
                <w:sz w:val="21"/>
                <w:szCs w:val="21"/>
              </w:rPr>
            </w:pPr>
          </w:p>
        </w:tc>
      </w:tr>
      <w:tr w14:paraId="1330A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74BC2414">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2B0C764E">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14E24831">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4DBCB6C8">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47BFC5D6">
            <w:pPr>
              <w:tabs>
                <w:tab w:val="left" w:pos="6300"/>
              </w:tabs>
              <w:snapToGrid w:val="0"/>
              <w:spacing w:line="500" w:lineRule="exact"/>
              <w:jc w:val="center"/>
              <w:rPr>
                <w:rFonts w:hint="eastAsia" w:ascii="宋体" w:hAnsi="宋体" w:cs="宋体"/>
                <w:color w:val="auto"/>
                <w:sz w:val="21"/>
                <w:szCs w:val="21"/>
              </w:rPr>
            </w:pPr>
          </w:p>
        </w:tc>
      </w:tr>
      <w:tr w14:paraId="1873BB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0" w:hRule="atLeast"/>
          <w:jc w:val="center"/>
        </w:trPr>
        <w:tc>
          <w:tcPr>
            <w:tcW w:w="1024" w:type="dxa"/>
            <w:noWrap w:val="0"/>
            <w:vAlign w:val="center"/>
          </w:tcPr>
          <w:p w14:paraId="4638897C">
            <w:pPr>
              <w:tabs>
                <w:tab w:val="left" w:pos="6300"/>
              </w:tabs>
              <w:snapToGrid w:val="0"/>
              <w:spacing w:line="500" w:lineRule="exact"/>
              <w:jc w:val="center"/>
              <w:rPr>
                <w:rFonts w:hint="eastAsia" w:ascii="宋体" w:hAnsi="宋体" w:cs="宋体"/>
                <w:color w:val="auto"/>
                <w:sz w:val="21"/>
                <w:szCs w:val="21"/>
              </w:rPr>
            </w:pPr>
          </w:p>
        </w:tc>
        <w:tc>
          <w:tcPr>
            <w:tcW w:w="2393" w:type="dxa"/>
            <w:noWrap w:val="0"/>
            <w:vAlign w:val="center"/>
          </w:tcPr>
          <w:p w14:paraId="43556681">
            <w:pPr>
              <w:tabs>
                <w:tab w:val="left" w:pos="6300"/>
              </w:tabs>
              <w:snapToGrid w:val="0"/>
              <w:spacing w:line="500" w:lineRule="exact"/>
              <w:jc w:val="center"/>
              <w:rPr>
                <w:rFonts w:hint="eastAsia" w:ascii="宋体" w:hAnsi="宋体" w:cs="宋体"/>
                <w:color w:val="auto"/>
                <w:sz w:val="21"/>
                <w:szCs w:val="21"/>
              </w:rPr>
            </w:pPr>
          </w:p>
        </w:tc>
        <w:tc>
          <w:tcPr>
            <w:tcW w:w="3067" w:type="dxa"/>
            <w:noWrap w:val="0"/>
            <w:vAlign w:val="center"/>
          </w:tcPr>
          <w:p w14:paraId="3DC95D0A">
            <w:pPr>
              <w:tabs>
                <w:tab w:val="left" w:pos="6300"/>
              </w:tabs>
              <w:snapToGrid w:val="0"/>
              <w:spacing w:line="500" w:lineRule="exact"/>
              <w:jc w:val="center"/>
              <w:rPr>
                <w:rFonts w:hint="eastAsia" w:ascii="宋体" w:hAnsi="宋体" w:cs="宋体"/>
                <w:color w:val="auto"/>
                <w:sz w:val="21"/>
                <w:szCs w:val="21"/>
              </w:rPr>
            </w:pPr>
          </w:p>
        </w:tc>
        <w:tc>
          <w:tcPr>
            <w:tcW w:w="1479" w:type="dxa"/>
            <w:noWrap w:val="0"/>
            <w:vAlign w:val="center"/>
          </w:tcPr>
          <w:p w14:paraId="324A399F">
            <w:pPr>
              <w:tabs>
                <w:tab w:val="left" w:pos="6300"/>
              </w:tabs>
              <w:snapToGrid w:val="0"/>
              <w:spacing w:line="500" w:lineRule="exact"/>
              <w:jc w:val="center"/>
              <w:rPr>
                <w:rFonts w:hint="eastAsia" w:ascii="宋体" w:hAnsi="宋体" w:cs="宋体"/>
                <w:color w:val="auto"/>
                <w:sz w:val="21"/>
                <w:szCs w:val="21"/>
              </w:rPr>
            </w:pPr>
          </w:p>
        </w:tc>
        <w:tc>
          <w:tcPr>
            <w:tcW w:w="1659" w:type="dxa"/>
            <w:noWrap w:val="0"/>
            <w:vAlign w:val="center"/>
          </w:tcPr>
          <w:p w14:paraId="39AAF125">
            <w:pPr>
              <w:tabs>
                <w:tab w:val="left" w:pos="6300"/>
              </w:tabs>
              <w:snapToGrid w:val="0"/>
              <w:spacing w:line="500" w:lineRule="exact"/>
              <w:jc w:val="center"/>
              <w:rPr>
                <w:rFonts w:hint="eastAsia" w:ascii="宋体" w:hAnsi="宋体" w:cs="宋体"/>
                <w:color w:val="auto"/>
                <w:sz w:val="21"/>
                <w:szCs w:val="21"/>
              </w:rPr>
            </w:pPr>
          </w:p>
        </w:tc>
      </w:tr>
    </w:tbl>
    <w:p w14:paraId="101F161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注：</w:t>
      </w:r>
    </w:p>
    <w:p w14:paraId="67255E39">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1.1.本表即为对本项目“第二篇  项目技术（质量）及商务需求”中所列条款进行比较和响应；</w:t>
      </w:r>
    </w:p>
    <w:p w14:paraId="5D0FF0D6">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2.本表可扩展。相关技术支撑材料应附本表后。（格式自定）</w:t>
      </w:r>
    </w:p>
    <w:p w14:paraId="3C277BDC">
      <w:pPr>
        <w:tabs>
          <w:tab w:val="left" w:pos="6300"/>
        </w:tabs>
        <w:snapToGrid w:val="0"/>
        <w:spacing w:line="400" w:lineRule="atLeast"/>
        <w:ind w:firstLine="570"/>
        <w:rPr>
          <w:rFonts w:hint="eastAsia" w:ascii="宋体" w:hAnsi="宋体" w:cs="宋体"/>
          <w:color w:val="auto"/>
          <w:sz w:val="24"/>
          <w:szCs w:val="24"/>
        </w:rPr>
      </w:pPr>
      <w:r>
        <w:rPr>
          <w:rFonts w:hint="eastAsia" w:ascii="宋体" w:hAnsi="宋体" w:cs="宋体"/>
          <w:color w:val="auto"/>
          <w:sz w:val="24"/>
          <w:szCs w:val="24"/>
        </w:rPr>
        <w:t>3.竞选应答栏中应当注明技术参数或具体内容。表中必须标注技术参数或具体内容在竞选文件中的位置（页码）。</w:t>
      </w:r>
    </w:p>
    <w:p w14:paraId="28A3AAEE">
      <w:pPr>
        <w:keepNext/>
        <w:keepLines/>
        <w:adjustRightInd w:val="0"/>
        <w:snapToGrid w:val="0"/>
        <w:spacing w:line="400" w:lineRule="atLeast"/>
        <w:ind w:firstLine="480" w:firstLineChars="200"/>
        <w:rPr>
          <w:rFonts w:ascii="宋体" w:hAnsi="宋体" w:cs="宋体"/>
          <w:color w:val="auto"/>
          <w:sz w:val="24"/>
          <w:szCs w:val="24"/>
        </w:rPr>
      </w:pPr>
      <w:r>
        <w:rPr>
          <w:rFonts w:hint="eastAsia" w:ascii="宋体" w:hAnsi="宋体" w:cs="宋体"/>
          <w:color w:val="auto"/>
          <w:sz w:val="24"/>
          <w:szCs w:val="24"/>
        </w:rPr>
        <w:t>4.偏离情况请填写“无偏离”、“正偏离”或“负偏离”。</w:t>
      </w:r>
    </w:p>
    <w:p w14:paraId="71F544B2">
      <w:pPr>
        <w:snapToGrid w:val="0"/>
        <w:spacing w:line="400" w:lineRule="exact"/>
        <w:ind w:firstLine="480" w:firstLineChars="200"/>
        <w:rPr>
          <w:rFonts w:hint="eastAsia" w:ascii="宋体" w:hAnsi="宋体" w:cs="宋体"/>
          <w:color w:val="auto"/>
          <w:sz w:val="24"/>
          <w:szCs w:val="28"/>
        </w:rPr>
      </w:pPr>
      <w:r>
        <w:rPr>
          <w:rFonts w:hint="eastAsia" w:ascii="宋体" w:hAnsi="宋体" w:cs="宋体"/>
          <w:color w:val="auto"/>
          <w:sz w:val="24"/>
          <w:szCs w:val="28"/>
        </w:rPr>
        <w:t>（三）其他商务资料</w:t>
      </w:r>
    </w:p>
    <w:p w14:paraId="5F2E0DF8">
      <w:pPr>
        <w:tabs>
          <w:tab w:val="left" w:pos="6300"/>
        </w:tabs>
        <w:snapToGrid w:val="0"/>
        <w:spacing w:line="500" w:lineRule="exact"/>
        <w:ind w:firstLine="570"/>
        <w:jc w:val="left"/>
        <w:rPr>
          <w:rFonts w:hint="eastAsia" w:ascii="宋体" w:hAnsi="宋体" w:cs="宋体"/>
          <w:color w:val="auto"/>
          <w:sz w:val="24"/>
        </w:rPr>
      </w:pPr>
      <w:r>
        <w:rPr>
          <w:rFonts w:hint="eastAsia" w:ascii="宋体" w:hAnsi="宋体" w:cs="宋体"/>
          <w:color w:val="auto"/>
          <w:szCs w:val="28"/>
        </w:rPr>
        <w:t xml:space="preserve"> </w:t>
      </w:r>
    </w:p>
    <w:p w14:paraId="7CE9ACED">
      <w:pPr>
        <w:pageBreakBefore/>
        <w:spacing w:line="500" w:lineRule="exact"/>
        <w:ind w:firstLine="562" w:firstLineChars="200"/>
        <w:outlineLvl w:val="1"/>
        <w:rPr>
          <w:rFonts w:hint="eastAsia" w:cs="宋体"/>
          <w:b/>
          <w:color w:val="auto"/>
          <w:szCs w:val="28"/>
        </w:rPr>
      </w:pPr>
      <w:bookmarkStart w:id="186" w:name="_Toc19291"/>
      <w:bookmarkStart w:id="187" w:name="_Toc4250"/>
      <w:bookmarkStart w:id="188" w:name="_Toc20605"/>
      <w:bookmarkStart w:id="189" w:name="_Toc6217"/>
      <w:bookmarkStart w:id="190" w:name="_Toc8925"/>
      <w:bookmarkStart w:id="191" w:name="_Toc492721038"/>
      <w:bookmarkStart w:id="192" w:name="_Toc493178793"/>
      <w:bookmarkStart w:id="193" w:name="_Toc16151"/>
      <w:bookmarkStart w:id="194" w:name="_Toc76373912"/>
      <w:r>
        <w:rPr>
          <w:rFonts w:hint="eastAsia" w:cs="宋体"/>
          <w:b/>
          <w:color w:val="auto"/>
          <w:szCs w:val="28"/>
        </w:rPr>
        <w:t>四、资格文件</w:t>
      </w:r>
      <w:bookmarkEnd w:id="186"/>
      <w:bookmarkEnd w:id="187"/>
      <w:bookmarkEnd w:id="188"/>
      <w:bookmarkEnd w:id="189"/>
      <w:bookmarkEnd w:id="190"/>
      <w:bookmarkEnd w:id="191"/>
      <w:bookmarkEnd w:id="192"/>
      <w:bookmarkEnd w:id="193"/>
      <w:bookmarkEnd w:id="194"/>
    </w:p>
    <w:p w14:paraId="0BBFEBF0">
      <w:pPr>
        <w:tabs>
          <w:tab w:val="left" w:pos="6300"/>
        </w:tabs>
        <w:snapToGrid w:val="0"/>
        <w:spacing w:line="500" w:lineRule="exact"/>
        <w:ind w:firstLine="570"/>
        <w:rPr>
          <w:rFonts w:hint="eastAsia" w:ascii="宋体" w:hAnsi="宋体" w:cs="宋体"/>
          <w:color w:val="auto"/>
        </w:rPr>
      </w:pPr>
      <w:r>
        <w:rPr>
          <w:rFonts w:hint="eastAsia" w:ascii="宋体" w:hAnsi="宋体" w:cs="宋体"/>
          <w:color w:val="auto"/>
          <w:sz w:val="24"/>
          <w:szCs w:val="28"/>
        </w:rPr>
        <w:t>（一）法人营业执照（副本）或事业单位法人证书（副本）或个体工商户营业执照或有效的自然人身份证明或社会团体法人登记证书复印件</w:t>
      </w:r>
    </w:p>
    <w:p w14:paraId="06A84E64">
      <w:pPr>
        <w:tabs>
          <w:tab w:val="left" w:pos="6300"/>
        </w:tabs>
        <w:snapToGrid w:val="0"/>
        <w:spacing w:line="500" w:lineRule="exact"/>
        <w:ind w:firstLine="570"/>
        <w:rPr>
          <w:rFonts w:hint="eastAsia" w:ascii="宋体" w:hAnsi="宋体" w:cs="宋体"/>
          <w:color w:val="auto"/>
        </w:rPr>
      </w:pPr>
    </w:p>
    <w:p w14:paraId="126C9CD4">
      <w:pPr>
        <w:tabs>
          <w:tab w:val="left" w:pos="6300"/>
        </w:tabs>
        <w:snapToGrid w:val="0"/>
        <w:spacing w:line="500" w:lineRule="exact"/>
        <w:ind w:firstLine="570"/>
        <w:rPr>
          <w:rFonts w:hint="eastAsia" w:ascii="宋体" w:hAnsi="宋体" w:cs="宋体"/>
          <w:color w:val="auto"/>
        </w:rPr>
      </w:pPr>
    </w:p>
    <w:p w14:paraId="5AC095B5">
      <w:pPr>
        <w:tabs>
          <w:tab w:val="left" w:pos="6300"/>
        </w:tabs>
        <w:snapToGrid w:val="0"/>
        <w:spacing w:line="500" w:lineRule="exact"/>
        <w:ind w:firstLine="570"/>
        <w:rPr>
          <w:rFonts w:hint="eastAsia" w:ascii="宋体" w:hAnsi="宋体" w:cs="宋体"/>
          <w:color w:val="auto"/>
        </w:rPr>
      </w:pPr>
    </w:p>
    <w:p w14:paraId="2D58873D">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page"/>
      </w:r>
      <w:r>
        <w:rPr>
          <w:rFonts w:hint="eastAsia" w:ascii="宋体" w:hAnsi="宋体" w:cs="宋体"/>
          <w:color w:val="auto"/>
          <w:sz w:val="24"/>
          <w:szCs w:val="28"/>
        </w:rPr>
        <w:t>（二）法定代表人身份证明书（格式）</w:t>
      </w:r>
    </w:p>
    <w:p w14:paraId="6BCF1FD8">
      <w:pPr>
        <w:tabs>
          <w:tab w:val="left" w:pos="6300"/>
        </w:tabs>
        <w:snapToGrid w:val="0"/>
        <w:spacing w:line="500" w:lineRule="exact"/>
        <w:ind w:firstLine="570"/>
        <w:rPr>
          <w:rFonts w:hint="eastAsia" w:ascii="宋体" w:hAnsi="宋体" w:cs="宋体"/>
          <w:color w:val="auto"/>
          <w:sz w:val="24"/>
        </w:rPr>
      </w:pPr>
    </w:p>
    <w:p w14:paraId="64A448C6">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采购项目名称：</w:t>
      </w:r>
      <w:r>
        <w:rPr>
          <w:rFonts w:hint="eastAsia" w:ascii="宋体" w:hAnsi="宋体" w:cs="宋体"/>
          <w:color w:val="auto"/>
          <w:sz w:val="24"/>
          <w:u w:val="single"/>
        </w:rPr>
        <w:t xml:space="preserve">                                                </w:t>
      </w:r>
    </w:p>
    <w:p w14:paraId="4AE8CFFF">
      <w:pPr>
        <w:tabs>
          <w:tab w:val="left" w:pos="6300"/>
        </w:tabs>
        <w:snapToGrid w:val="0"/>
        <w:spacing w:line="500" w:lineRule="exact"/>
        <w:ind w:firstLine="570"/>
        <w:rPr>
          <w:rFonts w:hint="eastAsia" w:ascii="宋体" w:hAnsi="宋体" w:cs="宋体"/>
          <w:color w:val="auto"/>
          <w:sz w:val="24"/>
        </w:rPr>
      </w:pPr>
    </w:p>
    <w:p w14:paraId="3C92967B">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5F992D8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（法定代表人姓名）在</w:t>
      </w:r>
      <w:r>
        <w:rPr>
          <w:rFonts w:hint="eastAsia" w:ascii="宋体" w:hAnsi="宋体" w:cs="宋体"/>
          <w:color w:val="auto"/>
          <w:sz w:val="24"/>
          <w:u w:val="single"/>
        </w:rPr>
        <w:t xml:space="preserve">                       </w:t>
      </w:r>
      <w:r>
        <w:rPr>
          <w:rFonts w:hint="eastAsia" w:ascii="宋体" w:hAnsi="宋体" w:cs="宋体"/>
          <w:color w:val="auto"/>
          <w:sz w:val="24"/>
        </w:rPr>
        <w:t>（竞选人名称）任</w:t>
      </w:r>
      <w:r>
        <w:rPr>
          <w:rFonts w:hint="eastAsia" w:ascii="宋体" w:hAnsi="宋体" w:cs="宋体"/>
          <w:color w:val="auto"/>
          <w:sz w:val="24"/>
          <w:u w:val="single"/>
        </w:rPr>
        <w:t xml:space="preserve">    </w:t>
      </w:r>
      <w:r>
        <w:rPr>
          <w:rFonts w:hint="eastAsia" w:ascii="宋体" w:hAnsi="宋体" w:cs="宋体"/>
          <w:color w:val="auto"/>
          <w:sz w:val="24"/>
        </w:rPr>
        <w:t>（职务名称）职务，是（竞选人名称）</w:t>
      </w:r>
      <w:r>
        <w:rPr>
          <w:rFonts w:hint="eastAsia" w:ascii="宋体" w:hAnsi="宋体" w:cs="宋体"/>
          <w:color w:val="auto"/>
          <w:sz w:val="24"/>
          <w:u w:val="single"/>
        </w:rPr>
        <w:t xml:space="preserve">              </w:t>
      </w:r>
      <w:r>
        <w:rPr>
          <w:rFonts w:hint="eastAsia" w:ascii="宋体" w:hAnsi="宋体" w:cs="宋体"/>
          <w:color w:val="auto"/>
          <w:sz w:val="24"/>
        </w:rPr>
        <w:t>的法定代表人。</w:t>
      </w:r>
    </w:p>
    <w:p w14:paraId="315D1E70">
      <w:pPr>
        <w:tabs>
          <w:tab w:val="left" w:pos="6300"/>
        </w:tabs>
        <w:snapToGrid w:val="0"/>
        <w:spacing w:line="500" w:lineRule="exact"/>
        <w:ind w:firstLine="570"/>
        <w:rPr>
          <w:rFonts w:hint="eastAsia" w:ascii="宋体" w:hAnsi="宋体" w:cs="宋体"/>
          <w:color w:val="auto"/>
          <w:sz w:val="24"/>
        </w:rPr>
      </w:pPr>
    </w:p>
    <w:p w14:paraId="294288D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特此证明。</w:t>
      </w:r>
    </w:p>
    <w:p w14:paraId="08FF285B">
      <w:pPr>
        <w:tabs>
          <w:tab w:val="left" w:pos="6300"/>
        </w:tabs>
        <w:snapToGrid w:val="0"/>
        <w:spacing w:line="500" w:lineRule="exact"/>
        <w:ind w:firstLine="570"/>
        <w:rPr>
          <w:rFonts w:hint="eastAsia" w:ascii="宋体" w:hAnsi="宋体" w:cs="宋体"/>
          <w:color w:val="auto"/>
          <w:sz w:val="24"/>
        </w:rPr>
      </w:pPr>
    </w:p>
    <w:p w14:paraId="3A5C37AD">
      <w:pPr>
        <w:tabs>
          <w:tab w:val="left" w:pos="6300"/>
        </w:tabs>
        <w:snapToGrid w:val="0"/>
        <w:spacing w:line="500" w:lineRule="exact"/>
        <w:ind w:firstLine="570"/>
        <w:rPr>
          <w:rFonts w:hint="eastAsia" w:ascii="宋体" w:hAnsi="宋体" w:cs="宋体"/>
          <w:color w:val="auto"/>
          <w:sz w:val="24"/>
        </w:rPr>
      </w:pPr>
    </w:p>
    <w:p w14:paraId="5571D348">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竞选人：</w:t>
      </w:r>
    </w:p>
    <w:p w14:paraId="60FF8F29">
      <w:pPr>
        <w:tabs>
          <w:tab w:val="left" w:pos="6300"/>
        </w:tabs>
        <w:snapToGrid w:val="0"/>
        <w:spacing w:line="500" w:lineRule="exact"/>
        <w:ind w:firstLine="5848" w:firstLineChars="2437"/>
        <w:rPr>
          <w:rFonts w:hint="eastAsia" w:ascii="宋体" w:hAnsi="宋体" w:cs="宋体"/>
          <w:color w:val="auto"/>
          <w:sz w:val="24"/>
        </w:rPr>
      </w:pPr>
      <w:r>
        <w:rPr>
          <w:rFonts w:hint="eastAsia" w:ascii="宋体" w:hAnsi="宋体" w:cs="宋体"/>
          <w:color w:val="auto"/>
          <w:sz w:val="24"/>
        </w:rPr>
        <w:t>（竞选人公章）</w:t>
      </w:r>
    </w:p>
    <w:p w14:paraId="683824DC">
      <w:pPr>
        <w:tabs>
          <w:tab w:val="left" w:pos="6300"/>
        </w:tabs>
        <w:snapToGrid w:val="0"/>
        <w:spacing w:line="500" w:lineRule="exact"/>
        <w:ind w:firstLine="570"/>
        <w:rPr>
          <w:rFonts w:hint="eastAsia" w:ascii="宋体" w:hAnsi="宋体" w:cs="宋体"/>
          <w:color w:val="auto"/>
          <w:sz w:val="24"/>
        </w:rPr>
      </w:pPr>
    </w:p>
    <w:p w14:paraId="5864104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年   月   日</w:t>
      </w:r>
    </w:p>
    <w:p w14:paraId="52872EF0">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（附：法定代表人身份证正反面复印件）</w:t>
      </w:r>
    </w:p>
    <w:p w14:paraId="6E409D18">
      <w:pPr>
        <w:tabs>
          <w:tab w:val="left" w:pos="6300"/>
        </w:tabs>
        <w:snapToGrid w:val="0"/>
        <w:spacing w:line="500" w:lineRule="exact"/>
        <w:ind w:firstLine="570"/>
        <w:rPr>
          <w:rFonts w:hint="eastAsia" w:ascii="宋体" w:hAnsi="宋体" w:cs="宋体"/>
          <w:color w:val="auto"/>
          <w:sz w:val="24"/>
        </w:rPr>
      </w:pPr>
    </w:p>
    <w:p w14:paraId="1ACBD6DE">
      <w:pPr>
        <w:tabs>
          <w:tab w:val="left" w:pos="6300"/>
        </w:tabs>
        <w:snapToGrid w:val="0"/>
        <w:spacing w:line="500" w:lineRule="exact"/>
        <w:ind w:firstLine="570"/>
        <w:rPr>
          <w:rFonts w:hint="eastAsia" w:ascii="宋体" w:hAnsi="宋体" w:cs="宋体"/>
          <w:color w:val="auto"/>
          <w:sz w:val="24"/>
        </w:rPr>
      </w:pPr>
    </w:p>
    <w:p w14:paraId="2B3B3B00">
      <w:pPr>
        <w:tabs>
          <w:tab w:val="left" w:pos="6300"/>
        </w:tabs>
        <w:snapToGrid w:val="0"/>
        <w:spacing w:line="500" w:lineRule="exact"/>
        <w:ind w:firstLine="570"/>
        <w:rPr>
          <w:rFonts w:hint="eastAsia" w:ascii="宋体" w:hAnsi="宋体" w:cs="宋体"/>
          <w:color w:val="auto"/>
          <w:sz w:val="24"/>
        </w:rPr>
      </w:pPr>
    </w:p>
    <w:p w14:paraId="2B1C5CBF">
      <w:pPr>
        <w:tabs>
          <w:tab w:val="left" w:pos="6300"/>
        </w:tabs>
        <w:snapToGrid w:val="0"/>
        <w:spacing w:line="500" w:lineRule="exact"/>
        <w:ind w:firstLine="570"/>
        <w:rPr>
          <w:rFonts w:hint="eastAsia" w:ascii="宋体" w:hAnsi="宋体" w:cs="宋体"/>
          <w:color w:val="auto"/>
          <w:sz w:val="24"/>
        </w:rPr>
      </w:pPr>
    </w:p>
    <w:p w14:paraId="60D76AF3">
      <w:pPr>
        <w:tabs>
          <w:tab w:val="left" w:pos="6300"/>
        </w:tabs>
        <w:snapToGrid w:val="0"/>
        <w:spacing w:line="500" w:lineRule="exact"/>
        <w:ind w:firstLine="570"/>
        <w:rPr>
          <w:rFonts w:hint="eastAsia" w:ascii="宋体" w:hAnsi="宋体" w:cs="宋体"/>
          <w:color w:val="auto"/>
          <w:sz w:val="24"/>
        </w:rPr>
      </w:pPr>
    </w:p>
    <w:p w14:paraId="6AAA1FDC">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（三）法定代表人授权委托书（格式）</w:t>
      </w:r>
    </w:p>
    <w:p w14:paraId="5C9B473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5828DC71">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szCs w:val="28"/>
        </w:rPr>
        <w:t>采购项目名称</w:t>
      </w:r>
      <w:r>
        <w:rPr>
          <w:rFonts w:hint="eastAsia" w:ascii="宋体" w:hAnsi="宋体" w:cs="宋体"/>
          <w:color w:val="auto"/>
          <w:sz w:val="24"/>
        </w:rPr>
        <w:t>：</w:t>
      </w:r>
      <w:r>
        <w:rPr>
          <w:rFonts w:hint="eastAsia" w:ascii="宋体" w:hAnsi="宋体" w:cs="宋体"/>
          <w:color w:val="auto"/>
          <w:sz w:val="24"/>
          <w:u w:val="single"/>
        </w:rPr>
        <w:t xml:space="preserve">                                                </w:t>
      </w:r>
    </w:p>
    <w:p w14:paraId="2F5DE21A">
      <w:pPr>
        <w:tabs>
          <w:tab w:val="left" w:pos="6300"/>
        </w:tabs>
        <w:snapToGrid w:val="0"/>
        <w:spacing w:line="500" w:lineRule="exact"/>
        <w:ind w:firstLine="570"/>
        <w:rPr>
          <w:rFonts w:hint="eastAsia" w:ascii="宋体" w:hAnsi="宋体" w:cs="宋体"/>
          <w:color w:val="auto"/>
          <w:sz w:val="24"/>
        </w:rPr>
      </w:pPr>
    </w:p>
    <w:p w14:paraId="62C7ADA9">
      <w:pPr>
        <w:tabs>
          <w:tab w:val="left" w:pos="6300"/>
        </w:tabs>
        <w:snapToGrid w:val="0"/>
        <w:spacing w:line="500" w:lineRule="exact"/>
        <w:rPr>
          <w:rFonts w:hint="eastAsia" w:ascii="宋体" w:hAnsi="宋体" w:cs="宋体"/>
          <w:color w:val="auto"/>
          <w:sz w:val="24"/>
        </w:rPr>
      </w:pPr>
      <w:r>
        <w:rPr>
          <w:rFonts w:hint="eastAsia" w:ascii="宋体" w:hAnsi="宋体" w:cs="宋体"/>
          <w:color w:val="auto"/>
          <w:sz w:val="24"/>
        </w:rPr>
        <w:t>致：</w:t>
      </w:r>
      <w:r>
        <w:rPr>
          <w:rFonts w:hint="eastAsia" w:ascii="宋体" w:hAnsi="宋体" w:cs="宋体"/>
          <w:color w:val="auto"/>
          <w:sz w:val="24"/>
          <w:u w:val="single"/>
        </w:rPr>
        <w:t xml:space="preserve">                     </w:t>
      </w:r>
      <w:r>
        <w:rPr>
          <w:rFonts w:hint="eastAsia" w:ascii="宋体" w:hAnsi="宋体" w:cs="宋体"/>
          <w:color w:val="auto"/>
          <w:sz w:val="24"/>
        </w:rPr>
        <w:t>：</w:t>
      </w:r>
    </w:p>
    <w:p w14:paraId="4AD33002">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u w:val="single"/>
        </w:rPr>
        <w:t xml:space="preserve">            </w:t>
      </w:r>
      <w:r>
        <w:rPr>
          <w:rFonts w:hint="eastAsia" w:ascii="宋体" w:hAnsi="宋体" w:cs="宋体"/>
          <w:color w:val="auto"/>
          <w:sz w:val="24"/>
        </w:rPr>
        <w:t>（竞选人法定代表人名称）是</w:t>
      </w:r>
      <w:r>
        <w:rPr>
          <w:rFonts w:hint="eastAsia" w:ascii="宋体" w:hAnsi="宋体" w:cs="宋体"/>
          <w:color w:val="auto"/>
          <w:sz w:val="24"/>
          <w:u w:val="single"/>
        </w:rPr>
        <w:t xml:space="preserve">                    </w:t>
      </w:r>
      <w:r>
        <w:rPr>
          <w:rFonts w:hint="eastAsia" w:ascii="宋体" w:hAnsi="宋体" w:cs="宋体"/>
          <w:color w:val="auto"/>
          <w:sz w:val="24"/>
        </w:rPr>
        <w:t>（竞选人名称）的法定代表人，特授权</w:t>
      </w:r>
      <w:r>
        <w:rPr>
          <w:rFonts w:hint="eastAsia" w:ascii="宋体" w:hAnsi="宋体" w:cs="宋体"/>
          <w:color w:val="auto"/>
          <w:sz w:val="24"/>
          <w:u w:val="single"/>
        </w:rPr>
        <w:t xml:space="preserve">          </w:t>
      </w:r>
      <w:r>
        <w:rPr>
          <w:rFonts w:hint="eastAsia" w:ascii="宋体" w:hAnsi="宋体" w:cs="宋体"/>
          <w:color w:val="auto"/>
          <w:sz w:val="24"/>
        </w:rPr>
        <w:t>（被授权人姓名及身份证代码）代表我单位全权办理上述项目的竞选、谈判、签约等具体工作，并签署全部有关文件、协议及合同。</w:t>
      </w:r>
    </w:p>
    <w:p w14:paraId="171593EF">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我单位对被授权人的签署负全部责任。</w:t>
      </w:r>
    </w:p>
    <w:p w14:paraId="27AC950E">
      <w:pPr>
        <w:tabs>
          <w:tab w:val="left" w:pos="6300"/>
        </w:tabs>
        <w:snapToGrid w:val="0"/>
        <w:spacing w:line="500" w:lineRule="exact"/>
        <w:ind w:firstLine="480" w:firstLineChars="200"/>
        <w:rPr>
          <w:rFonts w:hint="eastAsia" w:ascii="宋体" w:hAnsi="宋体" w:cs="宋体"/>
          <w:color w:val="auto"/>
          <w:sz w:val="24"/>
        </w:rPr>
      </w:pPr>
      <w:r>
        <w:rPr>
          <w:rFonts w:hint="eastAsia" w:ascii="宋体" w:hAnsi="宋体" w:cs="宋体"/>
          <w:color w:val="auto"/>
          <w:sz w:val="24"/>
        </w:rPr>
        <w:t>在撤销授权的书面通知以前，本授权书一直有效。被授权人在授权书有效期内签署的所有文件不因授权的撤销而失效。</w:t>
      </w:r>
    </w:p>
    <w:p w14:paraId="1137000E">
      <w:pPr>
        <w:tabs>
          <w:tab w:val="left" w:pos="6300"/>
        </w:tabs>
        <w:snapToGrid w:val="0"/>
        <w:spacing w:line="500" w:lineRule="exact"/>
        <w:ind w:firstLine="570"/>
        <w:rPr>
          <w:rFonts w:hint="eastAsia" w:ascii="宋体" w:hAnsi="宋体" w:cs="宋体"/>
          <w:color w:val="auto"/>
          <w:sz w:val="24"/>
        </w:rPr>
      </w:pPr>
    </w:p>
    <w:p w14:paraId="68B58669">
      <w:pPr>
        <w:tabs>
          <w:tab w:val="left" w:pos="6300"/>
        </w:tabs>
        <w:snapToGrid w:val="0"/>
        <w:spacing w:line="500" w:lineRule="exact"/>
        <w:ind w:firstLine="570"/>
        <w:rPr>
          <w:rFonts w:hint="eastAsia" w:ascii="宋体" w:hAnsi="宋体" w:cs="宋体"/>
          <w:color w:val="auto"/>
          <w:sz w:val="24"/>
        </w:rPr>
      </w:pPr>
    </w:p>
    <w:p w14:paraId="1D1DEC45">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被授权人：                                 竞选人法定代表人：</w:t>
      </w:r>
    </w:p>
    <w:p w14:paraId="19D3E1A6">
      <w:pPr>
        <w:tabs>
          <w:tab w:val="left" w:pos="6300"/>
        </w:tabs>
        <w:snapToGrid w:val="0"/>
        <w:spacing w:line="500" w:lineRule="exact"/>
        <w:ind w:firstLine="570"/>
        <w:rPr>
          <w:rFonts w:hint="eastAsia" w:ascii="宋体" w:hAnsi="宋体" w:cs="宋体"/>
          <w:color w:val="auto"/>
          <w:sz w:val="24"/>
          <w:szCs w:val="28"/>
        </w:rPr>
      </w:pPr>
      <w:r>
        <w:rPr>
          <w:rFonts w:hint="eastAsia" w:ascii="宋体" w:hAnsi="宋体" w:cs="宋体"/>
          <w:color w:val="auto"/>
          <w:sz w:val="24"/>
          <w:szCs w:val="28"/>
        </w:rPr>
        <w:t>（签署或盖章）                                （签署或盖章）</w:t>
      </w:r>
    </w:p>
    <w:p w14:paraId="0EC1DB72">
      <w:pPr>
        <w:tabs>
          <w:tab w:val="left" w:pos="6300"/>
        </w:tabs>
        <w:snapToGrid w:val="0"/>
        <w:spacing w:line="500" w:lineRule="exact"/>
        <w:ind w:firstLine="570"/>
        <w:rPr>
          <w:rFonts w:hint="eastAsia" w:ascii="宋体" w:hAnsi="宋体" w:cs="宋体"/>
          <w:color w:val="auto"/>
          <w:sz w:val="24"/>
          <w:szCs w:val="28"/>
        </w:rPr>
      </w:pPr>
    </w:p>
    <w:p w14:paraId="2214D064">
      <w:pPr>
        <w:tabs>
          <w:tab w:val="left" w:pos="6300"/>
        </w:tabs>
        <w:snapToGrid w:val="0"/>
        <w:spacing w:line="500" w:lineRule="exact"/>
        <w:ind w:firstLine="570"/>
        <w:rPr>
          <w:rFonts w:hint="eastAsia" w:ascii="宋体" w:hAnsi="宋体" w:cs="宋体"/>
          <w:color w:val="auto"/>
          <w:sz w:val="24"/>
        </w:rPr>
      </w:pPr>
    </w:p>
    <w:p w14:paraId="7CBFCB9F">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（附：被授权人身份证正反面复印件）</w:t>
      </w:r>
    </w:p>
    <w:p w14:paraId="74324AA9">
      <w:pPr>
        <w:tabs>
          <w:tab w:val="left" w:pos="6300"/>
        </w:tabs>
        <w:snapToGrid w:val="0"/>
        <w:spacing w:line="500" w:lineRule="exact"/>
        <w:ind w:firstLine="570"/>
        <w:rPr>
          <w:rFonts w:hint="eastAsia" w:ascii="宋体" w:hAnsi="宋体" w:cs="宋体"/>
          <w:color w:val="auto"/>
          <w:sz w:val="24"/>
        </w:rPr>
      </w:pPr>
      <w:r>
        <w:rPr>
          <w:rFonts w:hint="eastAsia" w:ascii="宋体" w:hAnsi="宋体" w:cs="宋体"/>
          <w:color w:val="auto"/>
          <w:sz w:val="24"/>
        </w:rPr>
        <w:t xml:space="preserve">                                          </w:t>
      </w:r>
    </w:p>
    <w:p w14:paraId="0E792364">
      <w:pPr>
        <w:tabs>
          <w:tab w:val="left" w:pos="6300"/>
        </w:tabs>
        <w:snapToGrid w:val="0"/>
        <w:spacing w:line="500" w:lineRule="exact"/>
        <w:ind w:firstLine="570"/>
        <w:rPr>
          <w:rFonts w:hint="eastAsia" w:ascii="宋体" w:hAnsi="宋体" w:cs="宋体"/>
          <w:color w:val="auto"/>
          <w:sz w:val="24"/>
        </w:rPr>
      </w:pPr>
    </w:p>
    <w:p w14:paraId="0757C6F4">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（竞选人公章）</w:t>
      </w:r>
    </w:p>
    <w:p w14:paraId="7D0EBA6F">
      <w:pPr>
        <w:tabs>
          <w:tab w:val="left" w:pos="6300"/>
        </w:tabs>
        <w:snapToGrid w:val="0"/>
        <w:spacing w:line="500" w:lineRule="exact"/>
        <w:ind w:right="480" w:firstLine="570"/>
        <w:jc w:val="right"/>
        <w:rPr>
          <w:rFonts w:hint="eastAsia" w:ascii="宋体" w:hAnsi="宋体" w:cs="宋体"/>
          <w:color w:val="auto"/>
          <w:sz w:val="24"/>
        </w:rPr>
      </w:pPr>
      <w:r>
        <w:rPr>
          <w:rFonts w:hint="eastAsia" w:ascii="宋体" w:hAnsi="宋体" w:cs="宋体"/>
          <w:color w:val="auto"/>
          <w:sz w:val="24"/>
        </w:rPr>
        <w:t>年   月   日</w:t>
      </w:r>
    </w:p>
    <w:p w14:paraId="1EC11973">
      <w:pPr>
        <w:tabs>
          <w:tab w:val="left" w:pos="6300"/>
        </w:tabs>
        <w:snapToGrid w:val="0"/>
        <w:spacing w:line="500" w:lineRule="exact"/>
        <w:ind w:right="720" w:firstLine="570"/>
        <w:jc w:val="right"/>
        <w:rPr>
          <w:rFonts w:hint="eastAsia" w:ascii="宋体" w:hAnsi="宋体" w:cs="宋体"/>
          <w:color w:val="auto"/>
          <w:sz w:val="24"/>
        </w:rPr>
      </w:pPr>
    </w:p>
    <w:p w14:paraId="0D08DEDF">
      <w:pPr>
        <w:tabs>
          <w:tab w:val="left" w:pos="6300"/>
        </w:tabs>
        <w:snapToGrid w:val="0"/>
        <w:spacing w:line="500" w:lineRule="exact"/>
        <w:ind w:right="480" w:firstLine="570"/>
        <w:jc w:val="left"/>
        <w:rPr>
          <w:rFonts w:hint="eastAsia" w:ascii="宋体" w:hAnsi="宋体" w:cs="宋体"/>
          <w:color w:val="auto"/>
          <w:sz w:val="24"/>
        </w:rPr>
      </w:pPr>
      <w:r>
        <w:rPr>
          <w:rFonts w:hint="eastAsia" w:ascii="宋体" w:hAnsi="宋体" w:cs="宋体"/>
          <w:color w:val="auto"/>
          <w:sz w:val="24"/>
        </w:rPr>
        <w:t>注：若为法定代表人办理并签署竞选文件的，不提供此文件。</w:t>
      </w:r>
    </w:p>
    <w:p w14:paraId="3EC32488">
      <w:pPr>
        <w:spacing w:line="400" w:lineRule="exact"/>
        <w:ind w:firstLine="560" w:firstLineChars="200"/>
        <w:rPr>
          <w:rFonts w:hint="eastAsia" w:ascii="宋体" w:hAnsi="宋体" w:cs="宋体"/>
          <w:color w:val="auto"/>
          <w:sz w:val="24"/>
          <w:szCs w:val="28"/>
        </w:rPr>
      </w:pPr>
      <w:r>
        <w:rPr>
          <w:rFonts w:hint="eastAsia" w:ascii="宋体" w:hAnsi="宋体" w:cs="宋体"/>
          <w:color w:val="auto"/>
        </w:rPr>
        <w:br w:type="column"/>
      </w:r>
      <w:r>
        <w:rPr>
          <w:rFonts w:hint="eastAsia" w:ascii="宋体" w:hAnsi="宋体" w:cs="宋体"/>
          <w:color w:val="auto"/>
          <w:sz w:val="24"/>
          <w:szCs w:val="28"/>
        </w:rPr>
        <w:t>（四）基本资格条件承诺函</w:t>
      </w:r>
      <w:r>
        <w:rPr>
          <w:rFonts w:hint="eastAsia" w:ascii="宋体" w:hAnsi="宋体" w:cs="宋体"/>
          <w:color w:val="auto"/>
          <w:sz w:val="24"/>
          <w:szCs w:val="24"/>
        </w:rPr>
        <w:t>（格式）</w:t>
      </w:r>
    </w:p>
    <w:p w14:paraId="57750FE1">
      <w:pPr>
        <w:spacing w:line="530" w:lineRule="exact"/>
        <w:ind w:firstLine="723" w:firstLineChars="200"/>
        <w:jc w:val="center"/>
        <w:rPr>
          <w:rFonts w:hint="eastAsia" w:ascii="宋体" w:hAnsi="宋体" w:cs="宋体"/>
          <w:b/>
          <w:bCs/>
          <w:color w:val="auto"/>
          <w:sz w:val="36"/>
          <w:szCs w:val="36"/>
        </w:rPr>
      </w:pPr>
      <w:r>
        <w:rPr>
          <w:rFonts w:hint="eastAsia" w:ascii="宋体" w:hAnsi="宋体" w:cs="宋体"/>
          <w:b/>
          <w:bCs/>
          <w:color w:val="auto"/>
          <w:sz w:val="36"/>
          <w:szCs w:val="36"/>
        </w:rPr>
        <w:t>基本资格条件承诺函</w:t>
      </w:r>
    </w:p>
    <w:p w14:paraId="25F8DC31">
      <w:pPr>
        <w:tabs>
          <w:tab w:val="left" w:pos="6300"/>
        </w:tabs>
        <w:snapToGrid w:val="0"/>
        <w:spacing w:line="530" w:lineRule="exact"/>
        <w:rPr>
          <w:color w:val="auto"/>
          <w:sz w:val="24"/>
        </w:rPr>
      </w:pPr>
    </w:p>
    <w:p w14:paraId="5CC705C9">
      <w:pPr>
        <w:tabs>
          <w:tab w:val="left" w:pos="6300"/>
        </w:tabs>
        <w:snapToGrid w:val="0"/>
        <w:spacing w:line="530" w:lineRule="exact"/>
        <w:rPr>
          <w:rFonts w:hint="eastAsia" w:ascii="宋体" w:hAnsi="宋体" w:cs="宋体"/>
          <w:color w:val="auto"/>
          <w:sz w:val="24"/>
          <w:szCs w:val="24"/>
        </w:rPr>
      </w:pPr>
      <w:r>
        <w:rPr>
          <w:rFonts w:hint="eastAsia" w:ascii="宋体" w:hAnsi="宋体" w:cs="宋体"/>
          <w:color w:val="auto"/>
          <w:sz w:val="24"/>
          <w:szCs w:val="24"/>
        </w:rPr>
        <w:t>致</w:t>
      </w:r>
      <w:r>
        <w:rPr>
          <w:rFonts w:hint="eastAsia" w:ascii="宋体" w:hAnsi="宋体" w:cs="宋体"/>
          <w:color w:val="auto"/>
          <w:sz w:val="24"/>
          <w:szCs w:val="24"/>
          <w:u w:val="single"/>
        </w:rPr>
        <w:t xml:space="preserve">                   </w:t>
      </w:r>
      <w:r>
        <w:rPr>
          <w:rFonts w:hint="eastAsia" w:ascii="宋体" w:hAnsi="宋体" w:cs="宋体"/>
          <w:color w:val="auto"/>
          <w:sz w:val="24"/>
          <w:szCs w:val="24"/>
        </w:rPr>
        <w:t>：</w:t>
      </w:r>
    </w:p>
    <w:p w14:paraId="1C2CF2CC">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u w:val="single"/>
        </w:rPr>
        <w:t xml:space="preserve">                      </w:t>
      </w:r>
      <w:r>
        <w:rPr>
          <w:rFonts w:hint="eastAsia" w:ascii="宋体" w:hAnsi="宋体" w:cs="宋体"/>
          <w:color w:val="auto"/>
          <w:sz w:val="24"/>
          <w:szCs w:val="24"/>
        </w:rPr>
        <w:t>（竞选人名称）郑重承诺：</w:t>
      </w:r>
    </w:p>
    <w:p w14:paraId="19B0CEB5">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1.我方具有良好的商业信誉和健全的财务会计制度，具有履行合同所必需的设备和专业技术能力，具</w:t>
      </w:r>
      <w:r>
        <w:rPr>
          <w:rFonts w:hint="eastAsia" w:ascii="宋体" w:hAnsi="宋体" w:cs="宋体"/>
          <w:color w:val="auto"/>
          <w:sz w:val="24"/>
          <w:szCs w:val="24"/>
          <w:lang w:val="zh-CN"/>
        </w:rPr>
        <w:t>有依法缴纳税收和社会保障金的良好记录</w:t>
      </w:r>
      <w:r>
        <w:rPr>
          <w:rFonts w:hint="eastAsia" w:ascii="宋体" w:hAnsi="宋体" w:cs="宋体"/>
          <w:color w:val="auto"/>
          <w:sz w:val="24"/>
          <w:szCs w:val="24"/>
        </w:rPr>
        <w:t>，参加本项目采购活动前三年内无重大违法活动记录。</w:t>
      </w:r>
    </w:p>
    <w:p w14:paraId="0ACDCEDD">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2.我方未列入在信用中国网站（www.creditchina.gov.cn）“失信被执行人”、“重大税收违法案件当事人名单”中，也未列入中国政府采购网（www.ccgp.gov.cn）“政府采购严重违法失信行为记录名单”中。</w:t>
      </w:r>
    </w:p>
    <w:p w14:paraId="3FBB1777">
      <w:pPr>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3.我方在采购项目评审环节结束后，随时接受采购人、采购代理机构的检查验证，配合提供相关证明材料，证明符合《中华人民共和国政府采购法》规定的竞选人基本资格条件。</w:t>
      </w:r>
    </w:p>
    <w:p w14:paraId="6A19AF4D">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我方对以上承诺负全部法律责任。</w:t>
      </w:r>
    </w:p>
    <w:p w14:paraId="2692CD4F">
      <w:pPr>
        <w:tabs>
          <w:tab w:val="left" w:pos="6300"/>
        </w:tabs>
        <w:snapToGrid w:val="0"/>
        <w:spacing w:line="530" w:lineRule="exact"/>
        <w:ind w:firstLine="480" w:firstLineChars="200"/>
        <w:rPr>
          <w:rFonts w:hint="eastAsia" w:ascii="宋体" w:hAnsi="宋体" w:cs="宋体"/>
          <w:color w:val="auto"/>
          <w:sz w:val="24"/>
          <w:szCs w:val="24"/>
        </w:rPr>
      </w:pPr>
      <w:r>
        <w:rPr>
          <w:rFonts w:hint="eastAsia" w:ascii="宋体" w:hAnsi="宋体" w:cs="宋体"/>
          <w:color w:val="auto"/>
          <w:sz w:val="24"/>
          <w:szCs w:val="24"/>
        </w:rPr>
        <w:t>特此承诺。</w:t>
      </w:r>
    </w:p>
    <w:p w14:paraId="4CE57F3A">
      <w:pPr>
        <w:tabs>
          <w:tab w:val="left" w:pos="6300"/>
        </w:tabs>
        <w:snapToGrid w:val="0"/>
        <w:spacing w:line="530" w:lineRule="exact"/>
        <w:rPr>
          <w:rFonts w:hint="eastAsia" w:ascii="宋体" w:hAnsi="宋体" w:cs="宋体"/>
          <w:color w:val="auto"/>
          <w:sz w:val="24"/>
          <w:szCs w:val="24"/>
        </w:rPr>
      </w:pPr>
    </w:p>
    <w:p w14:paraId="34C4B094">
      <w:pPr>
        <w:tabs>
          <w:tab w:val="left" w:pos="6300"/>
        </w:tabs>
        <w:snapToGrid w:val="0"/>
        <w:spacing w:line="530" w:lineRule="exact"/>
        <w:ind w:right="424" w:firstLine="570"/>
        <w:jc w:val="right"/>
        <w:rPr>
          <w:rFonts w:hint="eastAsia" w:ascii="宋体" w:hAnsi="宋体" w:cs="宋体"/>
          <w:color w:val="auto"/>
          <w:sz w:val="24"/>
          <w:szCs w:val="24"/>
        </w:rPr>
      </w:pPr>
      <w:r>
        <w:rPr>
          <w:rFonts w:hint="eastAsia" w:ascii="宋体" w:hAnsi="宋体" w:cs="宋体"/>
          <w:color w:val="auto"/>
          <w:sz w:val="24"/>
          <w:szCs w:val="24"/>
        </w:rPr>
        <w:t>（竞选人公章）</w:t>
      </w:r>
    </w:p>
    <w:p w14:paraId="70FC0CE2">
      <w:pPr>
        <w:spacing w:line="400" w:lineRule="exact"/>
        <w:ind w:firstLine="7440" w:firstLineChars="3100"/>
        <w:rPr>
          <w:rFonts w:hint="eastAsia" w:ascii="宋体" w:hAnsi="宋体" w:cs="宋体"/>
          <w:color w:val="auto"/>
          <w:sz w:val="24"/>
          <w:szCs w:val="28"/>
        </w:rPr>
      </w:pPr>
      <w:r>
        <w:rPr>
          <w:rFonts w:hint="eastAsia" w:ascii="宋体" w:hAnsi="宋体" w:cs="宋体"/>
          <w:color w:val="auto"/>
          <w:sz w:val="24"/>
          <w:szCs w:val="24"/>
        </w:rPr>
        <w:t>年   月   日</w:t>
      </w:r>
    </w:p>
    <w:p w14:paraId="20FF5FD0">
      <w:pPr>
        <w:snapToGrid w:val="0"/>
        <w:spacing w:line="400" w:lineRule="exact"/>
        <w:ind w:firstLine="560" w:firstLineChars="200"/>
        <w:rPr>
          <w:rFonts w:hint="eastAsia" w:ascii="宋体" w:hAnsi="宋体" w:cs="宋体"/>
          <w:color w:val="auto"/>
          <w:sz w:val="24"/>
          <w:szCs w:val="24"/>
        </w:rPr>
      </w:pPr>
      <w:r>
        <w:rPr>
          <w:rFonts w:hint="eastAsia" w:ascii="宋体" w:hAnsi="宋体" w:cs="宋体"/>
          <w:color w:val="auto"/>
        </w:rPr>
        <w:br w:type="page"/>
      </w:r>
      <w:r>
        <w:rPr>
          <w:rFonts w:hint="eastAsia" w:ascii="宋体" w:hAnsi="宋体" w:cs="宋体"/>
          <w:color w:val="auto"/>
          <w:sz w:val="24"/>
          <w:szCs w:val="24"/>
        </w:rPr>
        <w:t>（五）特定资格条件证书或证明文件</w:t>
      </w:r>
    </w:p>
    <w:p w14:paraId="63184AD9">
      <w:pPr>
        <w:tabs>
          <w:tab w:val="left" w:pos="6300"/>
        </w:tabs>
        <w:snapToGrid w:val="0"/>
        <w:spacing w:line="500" w:lineRule="exact"/>
        <w:ind w:firstLine="480" w:firstLineChars="200"/>
        <w:rPr>
          <w:rFonts w:hint="eastAsia" w:ascii="宋体" w:hAnsi="宋体" w:cs="宋体"/>
          <w:color w:val="auto"/>
          <w:sz w:val="24"/>
          <w:szCs w:val="28"/>
        </w:rPr>
      </w:pPr>
    </w:p>
    <w:p w14:paraId="6CEC57F8">
      <w:pPr>
        <w:tabs>
          <w:tab w:val="left" w:pos="6300"/>
        </w:tabs>
        <w:snapToGrid w:val="0"/>
        <w:spacing w:line="500" w:lineRule="exact"/>
        <w:ind w:firstLine="570"/>
        <w:jc w:val="left"/>
        <w:rPr>
          <w:rFonts w:hint="eastAsia" w:ascii="宋体" w:hAnsi="宋体" w:cs="宋体"/>
          <w:color w:val="auto"/>
          <w:sz w:val="24"/>
        </w:rPr>
      </w:pPr>
    </w:p>
    <w:p w14:paraId="6D5D1E58">
      <w:pPr>
        <w:tabs>
          <w:tab w:val="left" w:pos="6300"/>
        </w:tabs>
        <w:snapToGrid w:val="0"/>
        <w:spacing w:line="500" w:lineRule="exact"/>
        <w:ind w:firstLine="570"/>
        <w:jc w:val="left"/>
        <w:rPr>
          <w:rFonts w:hint="eastAsia" w:ascii="宋体" w:hAnsi="宋体" w:cs="宋体"/>
          <w:color w:val="auto"/>
          <w:sz w:val="24"/>
        </w:rPr>
      </w:pPr>
    </w:p>
    <w:p w14:paraId="0256A0AF">
      <w:pPr>
        <w:tabs>
          <w:tab w:val="left" w:pos="6300"/>
        </w:tabs>
        <w:snapToGrid w:val="0"/>
        <w:spacing w:line="500" w:lineRule="exact"/>
        <w:ind w:firstLine="570"/>
        <w:jc w:val="left"/>
        <w:rPr>
          <w:rFonts w:hint="eastAsia" w:ascii="宋体" w:hAnsi="宋体" w:cs="宋体"/>
          <w:color w:val="auto"/>
          <w:sz w:val="24"/>
        </w:rPr>
      </w:pPr>
    </w:p>
    <w:p w14:paraId="4AB25F53">
      <w:pPr>
        <w:tabs>
          <w:tab w:val="left" w:pos="6300"/>
        </w:tabs>
        <w:snapToGrid w:val="0"/>
        <w:spacing w:line="500" w:lineRule="exact"/>
        <w:ind w:firstLine="570"/>
        <w:jc w:val="left"/>
        <w:rPr>
          <w:rFonts w:hint="eastAsia" w:ascii="宋体" w:hAnsi="宋体" w:cs="宋体"/>
          <w:color w:val="auto"/>
          <w:sz w:val="24"/>
        </w:rPr>
      </w:pPr>
    </w:p>
    <w:p w14:paraId="3612A953">
      <w:pPr>
        <w:tabs>
          <w:tab w:val="left" w:pos="6300"/>
        </w:tabs>
        <w:snapToGrid w:val="0"/>
        <w:spacing w:line="500" w:lineRule="exact"/>
        <w:ind w:firstLine="570"/>
        <w:jc w:val="left"/>
        <w:rPr>
          <w:rFonts w:hint="eastAsia" w:ascii="宋体" w:hAnsi="宋体" w:cs="宋体"/>
          <w:color w:val="auto"/>
          <w:sz w:val="24"/>
        </w:rPr>
      </w:pPr>
    </w:p>
    <w:p w14:paraId="7E7B8909">
      <w:pPr>
        <w:tabs>
          <w:tab w:val="left" w:pos="6300"/>
        </w:tabs>
        <w:snapToGrid w:val="0"/>
        <w:spacing w:line="500" w:lineRule="exact"/>
        <w:ind w:firstLine="570"/>
        <w:jc w:val="left"/>
        <w:rPr>
          <w:rFonts w:hint="eastAsia" w:ascii="宋体" w:hAnsi="宋体" w:cs="宋体"/>
          <w:color w:val="auto"/>
          <w:sz w:val="24"/>
        </w:rPr>
      </w:pPr>
    </w:p>
    <w:p w14:paraId="528CB5BB">
      <w:pPr>
        <w:tabs>
          <w:tab w:val="left" w:pos="6300"/>
        </w:tabs>
        <w:snapToGrid w:val="0"/>
        <w:spacing w:line="500" w:lineRule="exact"/>
        <w:ind w:firstLine="570"/>
        <w:jc w:val="left"/>
        <w:rPr>
          <w:rFonts w:hint="eastAsia" w:ascii="宋体" w:hAnsi="宋体" w:cs="宋体"/>
          <w:color w:val="auto"/>
          <w:sz w:val="24"/>
        </w:rPr>
      </w:pPr>
    </w:p>
    <w:p w14:paraId="5115E4DB">
      <w:pPr>
        <w:tabs>
          <w:tab w:val="left" w:pos="6300"/>
        </w:tabs>
        <w:snapToGrid w:val="0"/>
        <w:spacing w:line="500" w:lineRule="exact"/>
        <w:ind w:firstLine="570"/>
        <w:jc w:val="left"/>
        <w:rPr>
          <w:rFonts w:hint="eastAsia" w:ascii="宋体" w:hAnsi="宋体" w:cs="宋体"/>
          <w:color w:val="auto"/>
          <w:sz w:val="24"/>
        </w:rPr>
      </w:pPr>
    </w:p>
    <w:p w14:paraId="0395889E">
      <w:pPr>
        <w:tabs>
          <w:tab w:val="left" w:pos="6300"/>
        </w:tabs>
        <w:snapToGrid w:val="0"/>
        <w:spacing w:line="500" w:lineRule="exact"/>
        <w:ind w:firstLine="570"/>
        <w:jc w:val="left"/>
        <w:rPr>
          <w:rFonts w:hint="eastAsia" w:ascii="宋体" w:hAnsi="宋体" w:cs="宋体"/>
          <w:color w:val="auto"/>
          <w:sz w:val="24"/>
        </w:rPr>
      </w:pPr>
    </w:p>
    <w:p w14:paraId="508393B9">
      <w:pPr>
        <w:tabs>
          <w:tab w:val="left" w:pos="6300"/>
        </w:tabs>
        <w:snapToGrid w:val="0"/>
        <w:spacing w:line="500" w:lineRule="exact"/>
        <w:ind w:firstLine="570"/>
        <w:jc w:val="left"/>
        <w:rPr>
          <w:rFonts w:hint="eastAsia" w:ascii="宋体" w:hAnsi="宋体" w:cs="宋体"/>
          <w:color w:val="auto"/>
          <w:sz w:val="24"/>
        </w:rPr>
      </w:pPr>
    </w:p>
    <w:p w14:paraId="2FCB245B">
      <w:pPr>
        <w:tabs>
          <w:tab w:val="left" w:pos="6300"/>
        </w:tabs>
        <w:snapToGrid w:val="0"/>
        <w:spacing w:line="500" w:lineRule="exact"/>
        <w:ind w:firstLine="570"/>
        <w:jc w:val="left"/>
        <w:rPr>
          <w:rFonts w:hint="eastAsia" w:ascii="宋体" w:hAnsi="宋体" w:cs="宋体"/>
          <w:color w:val="auto"/>
          <w:sz w:val="24"/>
        </w:rPr>
      </w:pPr>
    </w:p>
    <w:p w14:paraId="2265A40F">
      <w:pPr>
        <w:tabs>
          <w:tab w:val="left" w:pos="6300"/>
        </w:tabs>
        <w:snapToGrid w:val="0"/>
        <w:spacing w:line="500" w:lineRule="exact"/>
        <w:ind w:firstLine="570"/>
        <w:jc w:val="left"/>
        <w:rPr>
          <w:rFonts w:hint="eastAsia" w:ascii="宋体" w:hAnsi="宋体" w:cs="宋体"/>
          <w:color w:val="auto"/>
          <w:sz w:val="24"/>
        </w:rPr>
      </w:pPr>
    </w:p>
    <w:p w14:paraId="4D3C7794">
      <w:pPr>
        <w:tabs>
          <w:tab w:val="left" w:pos="6300"/>
        </w:tabs>
        <w:snapToGrid w:val="0"/>
        <w:spacing w:line="500" w:lineRule="exact"/>
        <w:ind w:firstLine="570"/>
        <w:jc w:val="left"/>
        <w:rPr>
          <w:rFonts w:hint="eastAsia" w:ascii="宋体" w:hAnsi="宋体" w:cs="宋体"/>
          <w:color w:val="auto"/>
          <w:sz w:val="24"/>
        </w:rPr>
      </w:pPr>
    </w:p>
    <w:p w14:paraId="471C585D">
      <w:pPr>
        <w:tabs>
          <w:tab w:val="left" w:pos="6300"/>
        </w:tabs>
        <w:snapToGrid w:val="0"/>
        <w:spacing w:line="500" w:lineRule="exact"/>
        <w:ind w:firstLine="570"/>
        <w:jc w:val="left"/>
        <w:rPr>
          <w:rFonts w:hint="eastAsia" w:ascii="宋体" w:hAnsi="宋体" w:cs="宋体"/>
          <w:color w:val="auto"/>
          <w:sz w:val="24"/>
        </w:rPr>
      </w:pPr>
    </w:p>
    <w:p w14:paraId="6E7EC297">
      <w:pPr>
        <w:tabs>
          <w:tab w:val="left" w:pos="6300"/>
        </w:tabs>
        <w:snapToGrid w:val="0"/>
        <w:spacing w:line="500" w:lineRule="exact"/>
        <w:ind w:firstLine="570"/>
        <w:jc w:val="left"/>
        <w:rPr>
          <w:rFonts w:hint="eastAsia" w:ascii="宋体" w:hAnsi="宋体" w:cs="宋体"/>
          <w:color w:val="auto"/>
          <w:sz w:val="24"/>
        </w:rPr>
      </w:pPr>
    </w:p>
    <w:p w14:paraId="09387E1A">
      <w:pPr>
        <w:tabs>
          <w:tab w:val="left" w:pos="6300"/>
        </w:tabs>
        <w:snapToGrid w:val="0"/>
        <w:spacing w:line="500" w:lineRule="exact"/>
        <w:ind w:firstLine="570"/>
        <w:jc w:val="left"/>
        <w:rPr>
          <w:rFonts w:hint="eastAsia" w:ascii="宋体" w:hAnsi="宋体" w:cs="宋体"/>
          <w:color w:val="auto"/>
          <w:sz w:val="24"/>
        </w:rPr>
      </w:pPr>
    </w:p>
    <w:p w14:paraId="3C86C0A8">
      <w:pPr>
        <w:tabs>
          <w:tab w:val="left" w:pos="6300"/>
        </w:tabs>
        <w:snapToGrid w:val="0"/>
        <w:spacing w:line="500" w:lineRule="exact"/>
        <w:ind w:firstLine="570"/>
        <w:jc w:val="left"/>
        <w:rPr>
          <w:rFonts w:hint="eastAsia" w:ascii="宋体" w:hAnsi="宋体" w:cs="宋体"/>
          <w:color w:val="auto"/>
          <w:sz w:val="24"/>
        </w:rPr>
      </w:pPr>
    </w:p>
    <w:p w14:paraId="2D93C22F">
      <w:pPr>
        <w:tabs>
          <w:tab w:val="left" w:pos="6300"/>
        </w:tabs>
        <w:snapToGrid w:val="0"/>
        <w:spacing w:line="500" w:lineRule="exact"/>
        <w:ind w:firstLine="570"/>
        <w:jc w:val="left"/>
        <w:rPr>
          <w:rFonts w:hint="eastAsia" w:ascii="宋体" w:hAnsi="宋体" w:cs="宋体"/>
          <w:color w:val="auto"/>
          <w:sz w:val="24"/>
        </w:rPr>
      </w:pPr>
    </w:p>
    <w:p w14:paraId="79DB7FA1">
      <w:pPr>
        <w:tabs>
          <w:tab w:val="left" w:pos="6300"/>
        </w:tabs>
        <w:snapToGrid w:val="0"/>
        <w:spacing w:line="500" w:lineRule="exact"/>
        <w:ind w:firstLine="570"/>
        <w:jc w:val="left"/>
        <w:rPr>
          <w:rFonts w:hint="eastAsia" w:ascii="宋体" w:hAnsi="宋体" w:cs="宋体"/>
          <w:color w:val="auto"/>
          <w:sz w:val="24"/>
        </w:rPr>
      </w:pPr>
    </w:p>
    <w:p w14:paraId="5B250A81">
      <w:pPr>
        <w:tabs>
          <w:tab w:val="left" w:pos="6300"/>
        </w:tabs>
        <w:snapToGrid w:val="0"/>
        <w:spacing w:line="500" w:lineRule="exact"/>
        <w:ind w:firstLine="570"/>
        <w:jc w:val="left"/>
        <w:rPr>
          <w:rFonts w:hint="eastAsia" w:ascii="宋体" w:hAnsi="宋体" w:cs="宋体"/>
          <w:color w:val="auto"/>
          <w:sz w:val="24"/>
        </w:rPr>
      </w:pPr>
    </w:p>
    <w:p w14:paraId="17066D51">
      <w:pPr>
        <w:tabs>
          <w:tab w:val="left" w:pos="6300"/>
        </w:tabs>
        <w:snapToGrid w:val="0"/>
        <w:spacing w:line="500" w:lineRule="exact"/>
        <w:outlineLvl w:val="1"/>
        <w:rPr>
          <w:rFonts w:hint="eastAsia" w:cs="宋体"/>
          <w:b/>
          <w:color w:val="auto"/>
          <w:szCs w:val="28"/>
        </w:rPr>
      </w:pPr>
      <w:bookmarkStart w:id="195" w:name="_Toc27718"/>
      <w:r>
        <w:rPr>
          <w:rFonts w:hint="eastAsia" w:ascii="宋体" w:hAnsi="宋体" w:cs="宋体"/>
          <w:color w:val="auto"/>
        </w:rPr>
        <w:br w:type="column"/>
      </w:r>
      <w:r>
        <w:rPr>
          <w:rFonts w:hint="eastAsia" w:cs="宋体"/>
          <w:b/>
          <w:color w:val="auto"/>
          <w:szCs w:val="28"/>
        </w:rPr>
        <w:t>五、商业活动廉洁经营承诺书</w:t>
      </w:r>
      <w:bookmarkEnd w:id="195"/>
    </w:p>
    <w:p w14:paraId="654139B0">
      <w:pPr>
        <w:spacing w:line="400" w:lineRule="exact"/>
        <w:jc w:val="center"/>
        <w:rPr>
          <w:rFonts w:hint="eastAsia" w:ascii="Arial Unicode MS" w:hAnsi="Arial Unicode MS" w:eastAsia="Arial Unicode MS" w:cs="Arial Unicode MS"/>
          <w:b/>
          <w:color w:val="auto"/>
          <w:sz w:val="32"/>
          <w:szCs w:val="32"/>
        </w:rPr>
      </w:pPr>
      <w:r>
        <w:rPr>
          <w:rFonts w:hint="eastAsia" w:ascii="Arial Unicode MS" w:hAnsi="Arial Unicode MS" w:eastAsia="Arial Unicode MS" w:cs="Arial Unicode MS"/>
          <w:b/>
          <w:color w:val="auto"/>
          <w:sz w:val="32"/>
          <w:szCs w:val="32"/>
        </w:rPr>
        <w:t>商业活动廉洁经营承诺书</w:t>
      </w:r>
    </w:p>
    <w:p w14:paraId="14E37253">
      <w:pPr>
        <w:spacing w:line="400" w:lineRule="exact"/>
        <w:rPr>
          <w:rFonts w:ascii="仿宋_GB2312" w:eastAsia="仿宋_GB2312"/>
          <w:color w:val="auto"/>
          <w:sz w:val="24"/>
        </w:rPr>
      </w:pPr>
    </w:p>
    <w:p w14:paraId="1AA4F9D0">
      <w:pPr>
        <w:spacing w:line="400" w:lineRule="exact"/>
        <w:rPr>
          <w:rFonts w:hint="eastAsia" w:ascii="宋体" w:hAnsi="宋体" w:cs="宋体"/>
          <w:color w:val="auto"/>
          <w:szCs w:val="28"/>
        </w:rPr>
      </w:pPr>
      <w:r>
        <w:rPr>
          <w:rFonts w:hint="eastAsia" w:ascii="宋体" w:hAnsi="宋体" w:cs="宋体"/>
          <w:color w:val="auto"/>
          <w:szCs w:val="28"/>
        </w:rPr>
        <w:t>重庆医科大学附属第二医院：</w:t>
      </w:r>
    </w:p>
    <w:p w14:paraId="418CCE0D">
      <w:pPr>
        <w:spacing w:line="400" w:lineRule="exact"/>
        <w:ind w:firstLine="512" w:firstLineChars="200"/>
        <w:rPr>
          <w:rFonts w:ascii="仿宋_GB2312" w:eastAsia="仿宋_GB2312"/>
          <w:color w:val="auto"/>
          <w:spacing w:val="-2"/>
          <w:sz w:val="26"/>
          <w:szCs w:val="26"/>
        </w:rPr>
      </w:pPr>
      <w:r>
        <w:rPr>
          <w:rFonts w:hint="eastAsia" w:ascii="仿宋_GB2312" w:eastAsia="仿宋_GB2312"/>
          <w:color w:val="auto"/>
          <w:spacing w:val="-2"/>
          <w:sz w:val="26"/>
          <w:szCs w:val="26"/>
        </w:rPr>
        <w:t>根据中央《关于深入推进治理商业贿赂专项工作的意见》精神，按照贵院廉政建设相关规定要求，为保证在与贵院进行医疗器械、医用耗材等购销服务活动、产品宣传、竞选过程中诚实守信、廉洁经营，与医院一起共同营造“质量为本、诚实守信、依法经营、互利共赢”的商业文化氛围，我司特作如下承诺：</w:t>
      </w:r>
    </w:p>
    <w:p w14:paraId="12D30E74">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一、坚持经营质量第一，建立健全质量保证体系；规范销售服务行为，强化售后服务，严格执行质量追溯制度，不断提高员工综合素质，努力为客户提供优质的售前、售中和售后服务。</w:t>
      </w:r>
    </w:p>
    <w:p w14:paraId="3F16D2F6">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二、不以任何理由向贵院及工作人员行贿或馈赠礼金、有价证券、礼品及土特产等。</w:t>
      </w:r>
    </w:p>
    <w:p w14:paraId="1368215F">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三、不以任何名义为贵院及工作人员报销应由贵院或个人支付的任何费用。</w:t>
      </w:r>
    </w:p>
    <w:p w14:paraId="7D24D52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四、不以任何理由邀请贵院及工作人员外出参加未经审批同意的学习考察，旅游，宴请及娱乐活动。</w:t>
      </w:r>
    </w:p>
    <w:p w14:paraId="20F005DA">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五、不为贵院单位和个人购置或提供通讯工具、交通工具和办公用品等。</w:t>
      </w:r>
    </w:p>
    <w:p w14:paraId="0AEF9EBE">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六、如果发现贵院工作人员有违反廉政规定的行为，承诺向贵院纪检监察部门或有关单位报告。</w:t>
      </w:r>
    </w:p>
    <w:p w14:paraId="339A7B87">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七、若我司工作人员违反本廉政承诺书内容规定，我司依据情节轻重，接受移送工商行政主管部门给予行政处罚；涉嫌犯罪的，移交司法机关追究刑事责任；给贵院造成经济损失的，承诺予以赔偿。接受贵院做出的取消合作资格、对有损商业信誉行为进行通报、作不良记录档案管理、延期付款、列入黑名单、长期取消合作资格等处理方式。</w:t>
      </w:r>
    </w:p>
    <w:p w14:paraId="42A98C31">
      <w:pPr>
        <w:spacing w:line="400" w:lineRule="exact"/>
        <w:ind w:firstLine="520" w:firstLineChars="200"/>
        <w:rPr>
          <w:rFonts w:ascii="仿宋_GB2312" w:eastAsia="仿宋_GB2312"/>
          <w:color w:val="auto"/>
          <w:sz w:val="26"/>
          <w:szCs w:val="26"/>
          <w:u w:val="single"/>
        </w:rPr>
      </w:pPr>
      <w:r>
        <w:rPr>
          <w:rFonts w:hint="eastAsia" w:ascii="仿宋_GB2312" w:eastAsia="仿宋_GB2312"/>
          <w:color w:val="auto"/>
          <w:sz w:val="26"/>
          <w:szCs w:val="26"/>
        </w:rPr>
        <w:t>八、本廉政承诺由贵院纪检监察部门和我司业务内控部门负责监督执行。</w:t>
      </w:r>
    </w:p>
    <w:p w14:paraId="3A9DFFAC">
      <w:pPr>
        <w:tabs>
          <w:tab w:val="left" w:pos="4215"/>
        </w:tabs>
        <w:spacing w:line="400" w:lineRule="exact"/>
        <w:rPr>
          <w:rFonts w:ascii="仿宋_GB2312" w:eastAsia="仿宋_GB2312"/>
          <w:color w:val="auto"/>
          <w:sz w:val="26"/>
          <w:szCs w:val="26"/>
        </w:rPr>
      </w:pPr>
    </w:p>
    <w:p w14:paraId="6E846DE9">
      <w:pPr>
        <w:pStyle w:val="3"/>
        <w:rPr>
          <w:color w:val="auto"/>
        </w:rPr>
      </w:pPr>
    </w:p>
    <w:p w14:paraId="4F69981D">
      <w:pPr>
        <w:tabs>
          <w:tab w:val="left" w:pos="4215"/>
        </w:tabs>
        <w:spacing w:line="480" w:lineRule="exact"/>
        <w:ind w:firstLine="2340" w:firstLineChars="900"/>
        <w:rPr>
          <w:rFonts w:ascii="仿宋_GB2312" w:eastAsia="仿宋_GB2312"/>
          <w:color w:val="auto"/>
          <w:sz w:val="26"/>
          <w:szCs w:val="26"/>
        </w:rPr>
      </w:pPr>
      <w:r>
        <w:rPr>
          <w:rFonts w:hint="eastAsia" w:ascii="仿宋_GB2312" w:eastAsia="仿宋_GB2312"/>
          <w:color w:val="auto"/>
          <w:sz w:val="26"/>
          <w:szCs w:val="26"/>
        </w:rPr>
        <w:t>竞选人法定代表人：</w:t>
      </w:r>
      <w:r>
        <w:rPr>
          <w:rFonts w:ascii="仿宋_GB2312" w:eastAsia="仿宋_GB2312"/>
          <w:color w:val="auto"/>
          <w:sz w:val="26"/>
          <w:szCs w:val="26"/>
        </w:rPr>
        <w:t xml:space="preserve"> </w:t>
      </w:r>
    </w:p>
    <w:p w14:paraId="717D8F84">
      <w:pPr>
        <w:tabs>
          <w:tab w:val="left" w:pos="4215"/>
        </w:tabs>
        <w:spacing w:line="480" w:lineRule="exact"/>
        <w:rPr>
          <w:rFonts w:ascii="仿宋_GB2312" w:eastAsia="仿宋_GB2312"/>
          <w:color w:val="auto"/>
          <w:sz w:val="26"/>
          <w:szCs w:val="26"/>
        </w:rPr>
      </w:pPr>
      <w:r>
        <w:rPr>
          <w:rFonts w:hint="eastAsia" w:ascii="仿宋_GB2312" w:eastAsia="仿宋_GB2312"/>
          <w:color w:val="auto"/>
          <w:sz w:val="26"/>
          <w:szCs w:val="26"/>
        </w:rPr>
        <w:t xml:space="preserve">                  竞选人地址：</w:t>
      </w:r>
    </w:p>
    <w:p w14:paraId="6F374BF1">
      <w:pPr>
        <w:spacing w:line="400" w:lineRule="exact"/>
        <w:ind w:firstLine="520" w:firstLineChars="200"/>
        <w:rPr>
          <w:rFonts w:ascii="仿宋_GB2312" w:eastAsia="仿宋_GB2312"/>
          <w:color w:val="auto"/>
          <w:sz w:val="26"/>
          <w:szCs w:val="26"/>
        </w:rPr>
      </w:pPr>
      <w:r>
        <w:rPr>
          <w:rFonts w:hint="eastAsia" w:ascii="仿宋_GB2312" w:eastAsia="仿宋_GB2312"/>
          <w:color w:val="auto"/>
          <w:sz w:val="26"/>
          <w:szCs w:val="26"/>
        </w:rPr>
        <w:t xml:space="preserve">              联系人及手机号码：</w:t>
      </w:r>
    </w:p>
    <w:p w14:paraId="31253EDF">
      <w:pPr>
        <w:spacing w:line="400" w:lineRule="exact"/>
        <w:ind w:firstLine="5460" w:firstLineChars="2100"/>
        <w:rPr>
          <w:rFonts w:ascii="仿宋_GB2312" w:eastAsia="仿宋_GB2312"/>
          <w:color w:val="auto"/>
          <w:sz w:val="26"/>
          <w:szCs w:val="26"/>
        </w:rPr>
      </w:pPr>
      <w:r>
        <w:rPr>
          <w:rFonts w:hint="eastAsia" w:ascii="仿宋_GB2312" w:eastAsia="仿宋_GB2312"/>
          <w:color w:val="auto"/>
          <w:sz w:val="26"/>
          <w:szCs w:val="26"/>
        </w:rPr>
        <w:t>年   月   日（加盖公司印章）</w:t>
      </w:r>
    </w:p>
    <w:p w14:paraId="7BEBD693">
      <w:pPr>
        <w:tabs>
          <w:tab w:val="left" w:pos="4215"/>
        </w:tabs>
        <w:spacing w:line="400" w:lineRule="exact"/>
        <w:rPr>
          <w:rFonts w:ascii="仿宋_GB2312" w:eastAsia="仿宋_GB2312"/>
          <w:color w:val="auto"/>
          <w:sz w:val="26"/>
          <w:szCs w:val="26"/>
        </w:rPr>
      </w:pPr>
      <w:r>
        <w:rPr>
          <w:rFonts w:hint="eastAsia" w:ascii="仿宋_GB2312" w:eastAsia="仿宋_GB2312"/>
          <w:color w:val="auto"/>
          <w:sz w:val="26"/>
          <w:szCs w:val="26"/>
        </w:rPr>
        <w:t xml:space="preserve">法律监督单位：重庆市渝中区人民检察院           </w:t>
      </w:r>
    </w:p>
    <w:p w14:paraId="717CB81A">
      <w:pPr>
        <w:tabs>
          <w:tab w:val="left" w:pos="6300"/>
        </w:tabs>
        <w:snapToGrid w:val="0"/>
        <w:spacing w:line="500" w:lineRule="exact"/>
        <w:jc w:val="center"/>
        <w:rPr>
          <w:rFonts w:hint="eastAsia" w:ascii="仿宋_GB2312" w:eastAsia="仿宋_GB2312"/>
          <w:color w:val="auto"/>
          <w:sz w:val="26"/>
          <w:szCs w:val="26"/>
        </w:rPr>
      </w:pPr>
      <w:r>
        <w:rPr>
          <w:rFonts w:hint="eastAsia" w:ascii="仿宋_GB2312" w:eastAsia="仿宋_GB2312"/>
          <w:color w:val="auto"/>
          <w:sz w:val="26"/>
          <w:szCs w:val="26"/>
        </w:rPr>
        <w:t xml:space="preserve">电话：63905066、63905067      </w:t>
      </w:r>
    </w:p>
    <w:p w14:paraId="1920A2B3">
      <w:pPr>
        <w:tabs>
          <w:tab w:val="left" w:pos="6300"/>
        </w:tabs>
        <w:snapToGrid w:val="0"/>
        <w:spacing w:line="500" w:lineRule="exact"/>
        <w:rPr>
          <w:rFonts w:hint="eastAsia" w:ascii="宋体" w:hAnsi="宋体" w:cs="宋体"/>
          <w:color w:val="auto"/>
        </w:rPr>
      </w:pPr>
    </w:p>
    <w:p w14:paraId="5476597B">
      <w:pPr>
        <w:tabs>
          <w:tab w:val="left" w:pos="6300"/>
        </w:tabs>
        <w:snapToGrid w:val="0"/>
        <w:spacing w:line="500" w:lineRule="exact"/>
        <w:ind w:firstLine="280" w:firstLineChars="100"/>
        <w:jc w:val="center"/>
        <w:rPr>
          <w:rFonts w:hint="eastAsia" w:ascii="方正仿宋_GBK" w:hAnsi="宋体" w:eastAsia="方正仿宋_GBK"/>
          <w:color w:val="auto"/>
        </w:rPr>
      </w:pPr>
      <w:r>
        <w:rPr>
          <w:rFonts w:hint="eastAsia" w:ascii="宋体" w:hAnsi="宋体" w:cs="宋体"/>
          <w:color w:val="auto"/>
        </w:rPr>
        <w:t>（结束）</w:t>
      </w:r>
    </w:p>
    <w:sectPr>
      <w:footerReference r:id="rId12" w:type="default"/>
      <w:pgSz w:w="11907" w:h="16840"/>
      <w:pgMar w:top="1134" w:right="1191" w:bottom="1134" w:left="1304" w:header="964" w:footer="992" w:gutter="0"/>
      <w:pgNumType w:fmt="numberInDash"/>
      <w:cols w:space="720" w:num="1"/>
      <w:docGrid w:linePitch="38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4D184F88-F705-4F6F-906A-04A209B96060}"/>
  </w:font>
  <w:font w:name="黑体">
    <w:panose1 w:val="02010609060101010101"/>
    <w:charset w:val="86"/>
    <w:family w:val="auto"/>
    <w:pitch w:val="default"/>
    <w:sig w:usb0="800002BF" w:usb1="38CF7CFA" w:usb2="00000016" w:usb3="00000000" w:csb0="00040001" w:csb1="00000000"/>
    <w:embedRegular r:id="rId2" w:fontKey="{4A00B6C0-34D5-4677-9CDA-521C9792D8F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PMingLiU">
    <w:altName w:val="PMingLiU-ExtB"/>
    <w:panose1 w:val="02020500000000000000"/>
    <w:charset w:val="88"/>
    <w:family w:val="roma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panose1 w:val="02010609030101010101"/>
    <w:charset w:val="86"/>
    <w:family w:val="swiss"/>
    <w:pitch w:val="default"/>
    <w:sig w:usb0="00000001" w:usb1="080E0000" w:usb2="00000000" w:usb3="00000000" w:csb0="00040000" w:csb1="00000000"/>
    <w:embedRegular r:id="rId3" w:fontKey="{A772B97B-944A-4FF6-949F-50A5964BCE13}"/>
  </w:font>
  <w:font w:name="Arial Unicode MS">
    <w:panose1 w:val="020B0604020202020204"/>
    <w:charset w:val="86"/>
    <w:family w:val="roman"/>
    <w:pitch w:val="default"/>
    <w:sig w:usb0="FFFFFFFF" w:usb1="E9FFFFFF" w:usb2="0000003F" w:usb3="00000000" w:csb0="603F01FF" w:csb1="FFFF0000"/>
    <w:embedRegular r:id="rId4" w:fontKey="{A2A18F5E-793C-40AA-AD99-D02FFD49E4D4}"/>
  </w:font>
  <w:font w:name="_x000B__x000C_">
    <w:altName w:val="Times New Roman"/>
    <w:panose1 w:val="00000000000000000000"/>
    <w:charset w:val="00"/>
    <w:family w:val="roman"/>
    <w:pitch w:val="default"/>
    <w:sig w:usb0="00000000" w:usb1="00000000" w:usb2="00000000" w:usb3="00000000" w:csb0="00000001" w:csb1="00000000"/>
  </w:font>
  <w:font w:name="文鼎粗黑">
    <w:altName w:val="黑体"/>
    <w:panose1 w:val="00000000000000000000"/>
    <w:charset w:val="86"/>
    <w:family w:val="modern"/>
    <w:pitch w:val="default"/>
    <w:sig w:usb0="00000000" w:usb1="00000000" w:usb2="00000010" w:usb3="00000000" w:csb0="00040000" w:csb1="00000000"/>
  </w:font>
  <w:font w:name="昆仑楷体">
    <w:altName w:val="宋体"/>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embedRegular r:id="rId5" w:fontKey="{54915256-BE7C-4BCD-8DDA-99AE3A57B7B0}"/>
  </w:font>
  <w:font w:name="Verdana">
    <w:panose1 w:val="020B0604030504040204"/>
    <w:charset w:val="00"/>
    <w:family w:val="swiss"/>
    <w:pitch w:val="default"/>
    <w:sig w:usb0="A00006FF" w:usb1="4000205B" w:usb2="00000010" w:usb3="00000000" w:csb0="2000019F" w:csb1="00000000"/>
  </w:font>
  <w:font w:name="Arial Narrow">
    <w:altName w:val="Arial"/>
    <w:panose1 w:val="020B0606020202030204"/>
    <w:charset w:val="00"/>
    <w:family w:val="swiss"/>
    <w:pitch w:val="default"/>
    <w:sig w:usb0="00000000" w:usb1="00000000" w:usb2="00000000" w:usb3="00000000" w:csb0="2000009F" w:csb1="DFD70000"/>
  </w:font>
  <w:font w:name="Tahoma">
    <w:panose1 w:val="020B0604030504040204"/>
    <w:charset w:val="00"/>
    <w:family w:val="swiss"/>
    <w:pitch w:val="default"/>
    <w:sig w:usb0="E1002EFF" w:usb1="C000605B" w:usb2="00000029" w:usb3="00000000" w:csb0="200101FF" w:csb1="20280000"/>
  </w:font>
  <w:font w:name="方正仿宋_GBK">
    <w:panose1 w:val="02000000000000000000"/>
    <w:charset w:val="86"/>
    <w:family w:val="script"/>
    <w:pitch w:val="default"/>
    <w:sig w:usb0="A00002BF" w:usb1="38CF7CFA" w:usb2="00082016" w:usb3="00000000" w:csb0="00040001" w:csb1="00000000"/>
    <w:embedRegular r:id="rId6" w:fontKey="{03260AAD-2FDE-4A3C-B6D8-19AEFDC38A06}"/>
  </w:font>
  <w:font w:name="方正黑体_GBK">
    <w:panose1 w:val="03000509000000000000"/>
    <w:charset w:val="86"/>
    <w:family w:val="script"/>
    <w:pitch w:val="default"/>
    <w:sig w:usb0="00000001" w:usb1="080E0000" w:usb2="00000000" w:usb3="00000000" w:csb0="00040000" w:csb1="00000000"/>
    <w:embedRegular r:id="rId7" w:fontKey="{C5B704BF-9F5B-403F-97BE-66FC8123D66E}"/>
  </w:font>
  <w:font w:name="方正小标宋_GBK">
    <w:panose1 w:val="03000509000000000000"/>
    <w:charset w:val="86"/>
    <w:family w:val="script"/>
    <w:pitch w:val="default"/>
    <w:sig w:usb0="00000001" w:usb1="080E0000" w:usb2="00000000" w:usb3="00000000" w:csb0="00040000" w:csb1="00000000"/>
    <w:embedRegular r:id="rId8" w:fontKey="{B94EE614-4BFB-45A4-ABD6-FFA12282F62F}"/>
  </w:font>
  <w:font w:name="微软雅黑">
    <w:panose1 w:val="020B0503020204020204"/>
    <w:charset w:val="86"/>
    <w:family w:val="swiss"/>
    <w:pitch w:val="default"/>
    <w:sig w:usb0="80000287" w:usb1="2ACF3C50" w:usb2="00000016" w:usb3="00000000" w:csb0="0004001F" w:csb1="00000000"/>
    <w:embedRegular r:id="rId9" w:fontKey="{49C2506C-67F8-4616-B24F-86725683B159}"/>
  </w:font>
  <w:font w:name="仿宋">
    <w:panose1 w:val="02010609060101010101"/>
    <w:charset w:val="86"/>
    <w:family w:val="modern"/>
    <w:pitch w:val="default"/>
    <w:sig w:usb0="800002BF" w:usb1="38CF7CFA" w:usb2="00000016" w:usb3="00000000" w:csb0="00040001" w:csb1="00000000"/>
    <w:embedRegular r:id="rId10" w:fontKey="{19861B3B-E287-4DE5-BA95-5B67EAD6895C}"/>
  </w:font>
  <w:font w:name="WPSEMBED7">
    <w:panose1 w:val="03000509000000000000"/>
    <w:charset w:val="86"/>
    <w:family w:val="auto"/>
    <w:pitch w:val="default"/>
    <w:sig w:usb0="00000001" w:usb1="080E0000" w:usb2="00000000" w:usb3="00000000" w:csb0="00040000" w:csb1="00000000"/>
  </w:font>
  <w:font w:name="WPSEMBED5">
    <w:panose1 w:val="02010609030101010101"/>
    <w:charset w:val="86"/>
    <w:family w:val="auto"/>
    <w:pitch w:val="default"/>
    <w:sig w:usb0="00000001" w:usb1="080E0000" w:usb2="00000000" w:usb3="00000000" w:csb0="00040000" w:csb1="00000000"/>
  </w:font>
  <w:font w:name="WPSEMBED8">
    <w:panose1 w:val="03000509000000000000"/>
    <w:charset w:val="86"/>
    <w:family w:val="auto"/>
    <w:pitch w:val="default"/>
    <w:sig w:usb0="00000001" w:usb1="080E0000" w:usb2="00000000" w:usb3="00000000" w:csb0="00040000" w:csb1="00000000"/>
  </w:font>
  <w:font w:name="WPSEMBED6">
    <w:panose1 w:val="020B0604020202020204"/>
    <w:charset w:val="86"/>
    <w:family w:val="auto"/>
    <w:pitch w:val="default"/>
    <w:sig w:usb0="FFFFFFFF" w:usb1="E9FFFFFF" w:usb2="0000003F" w:usb3="00000000" w:csb0="603F01FF" w:csb1="FFFF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A65A9D">
    <w:pPr>
      <w:pStyle w:val="36"/>
      <w:jc w:val="center"/>
      <w:rPr>
        <w:rFonts w:hint="eastAsia"/>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0D235E">
    <w:pPr>
      <w:pStyle w:val="36"/>
      <w:framePr w:wrap="around" w:vAnchor="text" w:hAnchor="margin" w:xAlign="center" w:y="1"/>
      <w:rPr>
        <w:rStyle w:val="63"/>
      </w:rPr>
    </w:pPr>
    <w:r>
      <w:fldChar w:fldCharType="begin"/>
    </w:r>
    <w:r>
      <w:rPr>
        <w:rStyle w:val="63"/>
      </w:rPr>
      <w:instrText xml:space="preserve">PAGE  </w:instrText>
    </w:r>
    <w:r>
      <w:fldChar w:fldCharType="separate"/>
    </w:r>
    <w:r>
      <w:fldChar w:fldCharType="end"/>
    </w:r>
  </w:p>
  <w:p w14:paraId="4A8546AA">
    <w:pPr>
      <w:pStyle w:val="3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13960">
    <w:pPr>
      <w:pStyle w:val="3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72CEE0">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A0D6CC">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- 29 -</w:t>
    </w:r>
    <w:r>
      <w:rPr>
        <w:sz w:val="24"/>
      </w:rPr>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B60109">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EC2F28">
    <w:pPr>
      <w:pStyle w:val="36"/>
      <w:jc w:val="center"/>
      <w:rPr>
        <w:sz w:val="24"/>
      </w:rPr>
    </w:pPr>
    <w:r>
      <w:rPr>
        <w:sz w:val="24"/>
      </w:rPr>
      <w:fldChar w:fldCharType="begin"/>
    </w:r>
    <w:r>
      <w:rPr>
        <w:rStyle w:val="63"/>
        <w:sz w:val="24"/>
      </w:rPr>
      <w:instrText xml:space="preserve"> PAGE </w:instrText>
    </w:r>
    <w:r>
      <w:rPr>
        <w:sz w:val="24"/>
      </w:rPr>
      <w:fldChar w:fldCharType="separate"/>
    </w:r>
    <w:r>
      <w:rPr>
        <w:rStyle w:val="63"/>
        <w:sz w:val="24"/>
      </w:rPr>
      <w:t>- 2 -</w:t>
    </w:r>
    <w:r>
      <w:rPr>
        <w:sz w:val="24"/>
      </w:rPr>
      <w:fldChar w:fldCharType="end"/>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C393F9F">
    <w:pPr>
      <w:pStyle w:val="37"/>
      <w:pBdr>
        <w:bottom w:val="single" w:color="auto" w:sz="4" w:space="1"/>
      </w:pBdr>
      <w:jc w:val="both"/>
      <w:rPr>
        <w:rFonts w:hint="eastAsia" w:ascii="方正仿宋_GBK" w:eastAsia="方正仿宋_GBK"/>
        <w:sz w:val="21"/>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E8C33D">
    <w:pPr>
      <w:pStyle w:val="3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BA0675">
    <w:pPr>
      <w:pStyle w:val="37"/>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7684D4CC"/>
    <w:multiLevelType w:val="singleLevel"/>
    <w:tmpl w:val="7684D4CC"/>
    <w:lvl w:ilvl="0" w:tentative="0">
      <w:start w:val="1"/>
      <w:numFmt w:val="decimal"/>
      <w:lvlText w:val="%1."/>
      <w:lvlJc w:val="left"/>
      <w:pPr>
        <w:tabs>
          <w:tab w:val="left" w:pos="312"/>
        </w:tabs>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280"/>
  <w:hyphenationZone w:val="360"/>
  <w:drawingGridHorizontalSpacing w:val="140"/>
  <w:drawingGridVerticalSpacing w:val="381"/>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UzYjA0ZmY3MTdkZjY4M2IzMGZkN2YyMjY2MjQ3NWEifQ=="/>
    <w:docVar w:name="KGWebUrl" w:val="http://10.10.10.15/seeyon/officeservlet"/>
    <w:docVar w:name="KSO_WPS_MARK_KEY" w:val="f5ec9b30-4cc4-42d4-98e9-9198e637bb21"/>
  </w:docVars>
  <w:rsids>
    <w:rsidRoot w:val="00172A27"/>
    <w:rsid w:val="000009FD"/>
    <w:rsid w:val="00000ED2"/>
    <w:rsid w:val="00003684"/>
    <w:rsid w:val="00003980"/>
    <w:rsid w:val="000072F0"/>
    <w:rsid w:val="00010A9A"/>
    <w:rsid w:val="000110F0"/>
    <w:rsid w:val="00011AF1"/>
    <w:rsid w:val="00012203"/>
    <w:rsid w:val="00012ACA"/>
    <w:rsid w:val="00021946"/>
    <w:rsid w:val="000266A1"/>
    <w:rsid w:val="0003075E"/>
    <w:rsid w:val="00030782"/>
    <w:rsid w:val="0003282A"/>
    <w:rsid w:val="00034A67"/>
    <w:rsid w:val="00036426"/>
    <w:rsid w:val="0003767C"/>
    <w:rsid w:val="000376BA"/>
    <w:rsid w:val="00037FAD"/>
    <w:rsid w:val="00042250"/>
    <w:rsid w:val="00043311"/>
    <w:rsid w:val="00047144"/>
    <w:rsid w:val="0005078E"/>
    <w:rsid w:val="00056058"/>
    <w:rsid w:val="00057565"/>
    <w:rsid w:val="00060807"/>
    <w:rsid w:val="00060F9F"/>
    <w:rsid w:val="00064EA7"/>
    <w:rsid w:val="0006572E"/>
    <w:rsid w:val="00075520"/>
    <w:rsid w:val="00082AC9"/>
    <w:rsid w:val="000857DB"/>
    <w:rsid w:val="000908E7"/>
    <w:rsid w:val="0009136B"/>
    <w:rsid w:val="000946BD"/>
    <w:rsid w:val="00094D91"/>
    <w:rsid w:val="00094FBF"/>
    <w:rsid w:val="000A2FB3"/>
    <w:rsid w:val="000A3ABD"/>
    <w:rsid w:val="000A5589"/>
    <w:rsid w:val="000A5751"/>
    <w:rsid w:val="000A66E5"/>
    <w:rsid w:val="000A7D62"/>
    <w:rsid w:val="000B1A95"/>
    <w:rsid w:val="000B2716"/>
    <w:rsid w:val="000B7271"/>
    <w:rsid w:val="000B7BBF"/>
    <w:rsid w:val="000C06D1"/>
    <w:rsid w:val="000C0F7C"/>
    <w:rsid w:val="000C2017"/>
    <w:rsid w:val="000C211D"/>
    <w:rsid w:val="000C2606"/>
    <w:rsid w:val="000C2A90"/>
    <w:rsid w:val="000C345B"/>
    <w:rsid w:val="000C47BC"/>
    <w:rsid w:val="000C59C5"/>
    <w:rsid w:val="000C6075"/>
    <w:rsid w:val="000C7F1A"/>
    <w:rsid w:val="000D07DB"/>
    <w:rsid w:val="000D568F"/>
    <w:rsid w:val="000D7645"/>
    <w:rsid w:val="000E1B32"/>
    <w:rsid w:val="000E32C9"/>
    <w:rsid w:val="000E43DC"/>
    <w:rsid w:val="000E491B"/>
    <w:rsid w:val="000E4AA8"/>
    <w:rsid w:val="000E52BD"/>
    <w:rsid w:val="000E6091"/>
    <w:rsid w:val="000E6331"/>
    <w:rsid w:val="000F16AA"/>
    <w:rsid w:val="000F176A"/>
    <w:rsid w:val="000F2213"/>
    <w:rsid w:val="000F30CC"/>
    <w:rsid w:val="000F391C"/>
    <w:rsid w:val="000F482B"/>
    <w:rsid w:val="000F4BEC"/>
    <w:rsid w:val="001001A5"/>
    <w:rsid w:val="001035DF"/>
    <w:rsid w:val="00104A22"/>
    <w:rsid w:val="00104C5C"/>
    <w:rsid w:val="001054CF"/>
    <w:rsid w:val="001103D7"/>
    <w:rsid w:val="00110AA3"/>
    <w:rsid w:val="00111819"/>
    <w:rsid w:val="0011194D"/>
    <w:rsid w:val="00112524"/>
    <w:rsid w:val="001125BF"/>
    <w:rsid w:val="00112BB6"/>
    <w:rsid w:val="00113FC9"/>
    <w:rsid w:val="00121660"/>
    <w:rsid w:val="0012297F"/>
    <w:rsid w:val="00122FAE"/>
    <w:rsid w:val="00124B08"/>
    <w:rsid w:val="00124E2D"/>
    <w:rsid w:val="001254D3"/>
    <w:rsid w:val="00125E3E"/>
    <w:rsid w:val="001329C4"/>
    <w:rsid w:val="00132AB5"/>
    <w:rsid w:val="00135250"/>
    <w:rsid w:val="0014045A"/>
    <w:rsid w:val="001407F6"/>
    <w:rsid w:val="00143D04"/>
    <w:rsid w:val="00143E2B"/>
    <w:rsid w:val="0015271E"/>
    <w:rsid w:val="001528E5"/>
    <w:rsid w:val="001554C7"/>
    <w:rsid w:val="00157C05"/>
    <w:rsid w:val="00161645"/>
    <w:rsid w:val="0016239E"/>
    <w:rsid w:val="00163AC1"/>
    <w:rsid w:val="00165AD0"/>
    <w:rsid w:val="0017268B"/>
    <w:rsid w:val="00173AC9"/>
    <w:rsid w:val="00174F15"/>
    <w:rsid w:val="00176391"/>
    <w:rsid w:val="001767A8"/>
    <w:rsid w:val="00176960"/>
    <w:rsid w:val="0018194D"/>
    <w:rsid w:val="00183E69"/>
    <w:rsid w:val="00183EEB"/>
    <w:rsid w:val="001864B0"/>
    <w:rsid w:val="00186A28"/>
    <w:rsid w:val="00187F68"/>
    <w:rsid w:val="00191EDB"/>
    <w:rsid w:val="00192A3E"/>
    <w:rsid w:val="00194E17"/>
    <w:rsid w:val="001960BE"/>
    <w:rsid w:val="001961B5"/>
    <w:rsid w:val="00197352"/>
    <w:rsid w:val="00197B98"/>
    <w:rsid w:val="001A0940"/>
    <w:rsid w:val="001A126D"/>
    <w:rsid w:val="001A648A"/>
    <w:rsid w:val="001B4A20"/>
    <w:rsid w:val="001B539D"/>
    <w:rsid w:val="001C08B0"/>
    <w:rsid w:val="001C2080"/>
    <w:rsid w:val="001C54FE"/>
    <w:rsid w:val="001C6A1E"/>
    <w:rsid w:val="001D3224"/>
    <w:rsid w:val="001D3B7E"/>
    <w:rsid w:val="001D7E51"/>
    <w:rsid w:val="001E2993"/>
    <w:rsid w:val="001E2F12"/>
    <w:rsid w:val="001E4F32"/>
    <w:rsid w:val="001E6382"/>
    <w:rsid w:val="001E6909"/>
    <w:rsid w:val="001F07F7"/>
    <w:rsid w:val="001F2CAB"/>
    <w:rsid w:val="001F381D"/>
    <w:rsid w:val="001F4FBB"/>
    <w:rsid w:val="001F6C1F"/>
    <w:rsid w:val="001F707E"/>
    <w:rsid w:val="002037CF"/>
    <w:rsid w:val="002101B3"/>
    <w:rsid w:val="002129E3"/>
    <w:rsid w:val="00216844"/>
    <w:rsid w:val="00217474"/>
    <w:rsid w:val="00217C0F"/>
    <w:rsid w:val="00220225"/>
    <w:rsid w:val="002213BF"/>
    <w:rsid w:val="00223B03"/>
    <w:rsid w:val="00225095"/>
    <w:rsid w:val="0022640C"/>
    <w:rsid w:val="0022711C"/>
    <w:rsid w:val="00227651"/>
    <w:rsid w:val="00230CE6"/>
    <w:rsid w:val="00233395"/>
    <w:rsid w:val="00233AFE"/>
    <w:rsid w:val="0023537E"/>
    <w:rsid w:val="00236969"/>
    <w:rsid w:val="00236E09"/>
    <w:rsid w:val="00237468"/>
    <w:rsid w:val="00237AE5"/>
    <w:rsid w:val="00237C42"/>
    <w:rsid w:val="00241CE1"/>
    <w:rsid w:val="002435D0"/>
    <w:rsid w:val="00243F8F"/>
    <w:rsid w:val="00246B99"/>
    <w:rsid w:val="002474A9"/>
    <w:rsid w:val="00251AB6"/>
    <w:rsid w:val="00251E45"/>
    <w:rsid w:val="00252167"/>
    <w:rsid w:val="00252999"/>
    <w:rsid w:val="0025308A"/>
    <w:rsid w:val="00255D5D"/>
    <w:rsid w:val="0025601D"/>
    <w:rsid w:val="00257FF1"/>
    <w:rsid w:val="00261D69"/>
    <w:rsid w:val="00262267"/>
    <w:rsid w:val="00262F6F"/>
    <w:rsid w:val="00263F00"/>
    <w:rsid w:val="002648D2"/>
    <w:rsid w:val="00264A68"/>
    <w:rsid w:val="00265244"/>
    <w:rsid w:val="00265E5D"/>
    <w:rsid w:val="002665F5"/>
    <w:rsid w:val="00266BCA"/>
    <w:rsid w:val="002709B3"/>
    <w:rsid w:val="00270B2B"/>
    <w:rsid w:val="0027580D"/>
    <w:rsid w:val="00275F04"/>
    <w:rsid w:val="0028066C"/>
    <w:rsid w:val="00282E57"/>
    <w:rsid w:val="002833CF"/>
    <w:rsid w:val="00283675"/>
    <w:rsid w:val="00286D19"/>
    <w:rsid w:val="0029020D"/>
    <w:rsid w:val="0029022C"/>
    <w:rsid w:val="002911BF"/>
    <w:rsid w:val="002919F0"/>
    <w:rsid w:val="00293471"/>
    <w:rsid w:val="00293FE5"/>
    <w:rsid w:val="00294035"/>
    <w:rsid w:val="00294C77"/>
    <w:rsid w:val="00297B69"/>
    <w:rsid w:val="002A0397"/>
    <w:rsid w:val="002A0576"/>
    <w:rsid w:val="002B02CF"/>
    <w:rsid w:val="002B26F0"/>
    <w:rsid w:val="002B31D4"/>
    <w:rsid w:val="002B370E"/>
    <w:rsid w:val="002B375E"/>
    <w:rsid w:val="002C0316"/>
    <w:rsid w:val="002C1045"/>
    <w:rsid w:val="002C10FD"/>
    <w:rsid w:val="002C1B7A"/>
    <w:rsid w:val="002C5B74"/>
    <w:rsid w:val="002C6836"/>
    <w:rsid w:val="002C7F2B"/>
    <w:rsid w:val="002D2F75"/>
    <w:rsid w:val="002E0FB6"/>
    <w:rsid w:val="002E1597"/>
    <w:rsid w:val="002E1826"/>
    <w:rsid w:val="002E2816"/>
    <w:rsid w:val="002E3949"/>
    <w:rsid w:val="002E4173"/>
    <w:rsid w:val="002E41DF"/>
    <w:rsid w:val="002E53CD"/>
    <w:rsid w:val="002E6DFA"/>
    <w:rsid w:val="002F1086"/>
    <w:rsid w:val="002F1557"/>
    <w:rsid w:val="002F4D62"/>
    <w:rsid w:val="002F5812"/>
    <w:rsid w:val="002F5EEF"/>
    <w:rsid w:val="002F62E5"/>
    <w:rsid w:val="003017D2"/>
    <w:rsid w:val="003055FB"/>
    <w:rsid w:val="00305F51"/>
    <w:rsid w:val="003075D9"/>
    <w:rsid w:val="003078AE"/>
    <w:rsid w:val="003131E0"/>
    <w:rsid w:val="00313530"/>
    <w:rsid w:val="00314EC1"/>
    <w:rsid w:val="00316847"/>
    <w:rsid w:val="00316C9A"/>
    <w:rsid w:val="003177D5"/>
    <w:rsid w:val="00317BBE"/>
    <w:rsid w:val="00321104"/>
    <w:rsid w:val="003220FF"/>
    <w:rsid w:val="003231A8"/>
    <w:rsid w:val="00326131"/>
    <w:rsid w:val="00331597"/>
    <w:rsid w:val="00331AC1"/>
    <w:rsid w:val="00333E00"/>
    <w:rsid w:val="003340BB"/>
    <w:rsid w:val="00336B9E"/>
    <w:rsid w:val="003431D8"/>
    <w:rsid w:val="00343E1C"/>
    <w:rsid w:val="00344FF3"/>
    <w:rsid w:val="003454D6"/>
    <w:rsid w:val="0034652F"/>
    <w:rsid w:val="00347CE1"/>
    <w:rsid w:val="00350F6A"/>
    <w:rsid w:val="00351A45"/>
    <w:rsid w:val="00356617"/>
    <w:rsid w:val="0035698B"/>
    <w:rsid w:val="00357783"/>
    <w:rsid w:val="00357E3E"/>
    <w:rsid w:val="003607B2"/>
    <w:rsid w:val="003624B7"/>
    <w:rsid w:val="00362CFA"/>
    <w:rsid w:val="003657B2"/>
    <w:rsid w:val="00370BF4"/>
    <w:rsid w:val="0037133A"/>
    <w:rsid w:val="0037169E"/>
    <w:rsid w:val="00372DC7"/>
    <w:rsid w:val="003754CD"/>
    <w:rsid w:val="00375B89"/>
    <w:rsid w:val="00375E24"/>
    <w:rsid w:val="00381F76"/>
    <w:rsid w:val="0038327C"/>
    <w:rsid w:val="00383C9F"/>
    <w:rsid w:val="003846F7"/>
    <w:rsid w:val="00385D17"/>
    <w:rsid w:val="0038635F"/>
    <w:rsid w:val="00386A3F"/>
    <w:rsid w:val="00387CE1"/>
    <w:rsid w:val="003902F6"/>
    <w:rsid w:val="003968A8"/>
    <w:rsid w:val="003A28FC"/>
    <w:rsid w:val="003A3CD7"/>
    <w:rsid w:val="003A4636"/>
    <w:rsid w:val="003A6A32"/>
    <w:rsid w:val="003A7D0A"/>
    <w:rsid w:val="003A7E30"/>
    <w:rsid w:val="003B01D1"/>
    <w:rsid w:val="003B2994"/>
    <w:rsid w:val="003B35D0"/>
    <w:rsid w:val="003B3C4B"/>
    <w:rsid w:val="003B6297"/>
    <w:rsid w:val="003C3995"/>
    <w:rsid w:val="003C6CEE"/>
    <w:rsid w:val="003D00D2"/>
    <w:rsid w:val="003D0992"/>
    <w:rsid w:val="003D1370"/>
    <w:rsid w:val="003D1857"/>
    <w:rsid w:val="003D1F45"/>
    <w:rsid w:val="003D6FF0"/>
    <w:rsid w:val="003D7BDE"/>
    <w:rsid w:val="003E39B8"/>
    <w:rsid w:val="003E4DEA"/>
    <w:rsid w:val="003E5E95"/>
    <w:rsid w:val="003E61EF"/>
    <w:rsid w:val="003E699F"/>
    <w:rsid w:val="003F2CFF"/>
    <w:rsid w:val="003F5BC7"/>
    <w:rsid w:val="003F6A6B"/>
    <w:rsid w:val="003F7807"/>
    <w:rsid w:val="0040154D"/>
    <w:rsid w:val="00402B2B"/>
    <w:rsid w:val="00404747"/>
    <w:rsid w:val="0040799A"/>
    <w:rsid w:val="00410665"/>
    <w:rsid w:val="00410D92"/>
    <w:rsid w:val="00411390"/>
    <w:rsid w:val="00411C41"/>
    <w:rsid w:val="00412646"/>
    <w:rsid w:val="004157DD"/>
    <w:rsid w:val="00415899"/>
    <w:rsid w:val="004203D9"/>
    <w:rsid w:val="00420FC9"/>
    <w:rsid w:val="00421B15"/>
    <w:rsid w:val="00421FE4"/>
    <w:rsid w:val="00422693"/>
    <w:rsid w:val="00422860"/>
    <w:rsid w:val="0042417F"/>
    <w:rsid w:val="004250FD"/>
    <w:rsid w:val="00425882"/>
    <w:rsid w:val="00425B08"/>
    <w:rsid w:val="00430330"/>
    <w:rsid w:val="004308A2"/>
    <w:rsid w:val="0043144E"/>
    <w:rsid w:val="00433BC7"/>
    <w:rsid w:val="0043419B"/>
    <w:rsid w:val="004344E7"/>
    <w:rsid w:val="004408D3"/>
    <w:rsid w:val="0044180D"/>
    <w:rsid w:val="00442474"/>
    <w:rsid w:val="0044361E"/>
    <w:rsid w:val="00444A06"/>
    <w:rsid w:val="00445158"/>
    <w:rsid w:val="00446B28"/>
    <w:rsid w:val="004517B3"/>
    <w:rsid w:val="0045181E"/>
    <w:rsid w:val="00454511"/>
    <w:rsid w:val="004546C4"/>
    <w:rsid w:val="004558F5"/>
    <w:rsid w:val="0045590E"/>
    <w:rsid w:val="0045600B"/>
    <w:rsid w:val="00462D63"/>
    <w:rsid w:val="004641C0"/>
    <w:rsid w:val="004668A0"/>
    <w:rsid w:val="00466D5A"/>
    <w:rsid w:val="004717A8"/>
    <w:rsid w:val="00472ECF"/>
    <w:rsid w:val="00475385"/>
    <w:rsid w:val="00475457"/>
    <w:rsid w:val="0047562B"/>
    <w:rsid w:val="00477B69"/>
    <w:rsid w:val="00480379"/>
    <w:rsid w:val="00482D35"/>
    <w:rsid w:val="0048396B"/>
    <w:rsid w:val="00484E7B"/>
    <w:rsid w:val="00485174"/>
    <w:rsid w:val="004867C3"/>
    <w:rsid w:val="00486EC6"/>
    <w:rsid w:val="00487CDA"/>
    <w:rsid w:val="004915E3"/>
    <w:rsid w:val="00491AED"/>
    <w:rsid w:val="004933EB"/>
    <w:rsid w:val="004978F0"/>
    <w:rsid w:val="00497DFC"/>
    <w:rsid w:val="004A0052"/>
    <w:rsid w:val="004A2306"/>
    <w:rsid w:val="004A263F"/>
    <w:rsid w:val="004A7303"/>
    <w:rsid w:val="004B1497"/>
    <w:rsid w:val="004B159F"/>
    <w:rsid w:val="004B19E5"/>
    <w:rsid w:val="004B2831"/>
    <w:rsid w:val="004B4916"/>
    <w:rsid w:val="004B537E"/>
    <w:rsid w:val="004B6210"/>
    <w:rsid w:val="004B69BC"/>
    <w:rsid w:val="004B6CA6"/>
    <w:rsid w:val="004B7FE0"/>
    <w:rsid w:val="004C133A"/>
    <w:rsid w:val="004C1FC5"/>
    <w:rsid w:val="004C2A6E"/>
    <w:rsid w:val="004C4F96"/>
    <w:rsid w:val="004C7D7E"/>
    <w:rsid w:val="004D009E"/>
    <w:rsid w:val="004D2588"/>
    <w:rsid w:val="004D32AF"/>
    <w:rsid w:val="004D3F71"/>
    <w:rsid w:val="004D433B"/>
    <w:rsid w:val="004D4D27"/>
    <w:rsid w:val="004D5994"/>
    <w:rsid w:val="004E0781"/>
    <w:rsid w:val="004E257E"/>
    <w:rsid w:val="004E32CB"/>
    <w:rsid w:val="004F2721"/>
    <w:rsid w:val="004F2BA7"/>
    <w:rsid w:val="004F434B"/>
    <w:rsid w:val="00500E9B"/>
    <w:rsid w:val="005016D9"/>
    <w:rsid w:val="00501938"/>
    <w:rsid w:val="0050253D"/>
    <w:rsid w:val="00502629"/>
    <w:rsid w:val="00503149"/>
    <w:rsid w:val="0051021B"/>
    <w:rsid w:val="005102E2"/>
    <w:rsid w:val="00512491"/>
    <w:rsid w:val="00512C2F"/>
    <w:rsid w:val="00513CBD"/>
    <w:rsid w:val="005148B8"/>
    <w:rsid w:val="00514B93"/>
    <w:rsid w:val="00515415"/>
    <w:rsid w:val="005168BD"/>
    <w:rsid w:val="00516C3E"/>
    <w:rsid w:val="00516FFD"/>
    <w:rsid w:val="00521137"/>
    <w:rsid w:val="00521C37"/>
    <w:rsid w:val="00524547"/>
    <w:rsid w:val="00525E4A"/>
    <w:rsid w:val="00526C0A"/>
    <w:rsid w:val="00527955"/>
    <w:rsid w:val="005310E4"/>
    <w:rsid w:val="00531EB9"/>
    <w:rsid w:val="0053343F"/>
    <w:rsid w:val="00533F51"/>
    <w:rsid w:val="00536251"/>
    <w:rsid w:val="005375CE"/>
    <w:rsid w:val="005378DE"/>
    <w:rsid w:val="00537C42"/>
    <w:rsid w:val="00537C5E"/>
    <w:rsid w:val="005406AC"/>
    <w:rsid w:val="00541231"/>
    <w:rsid w:val="005429C0"/>
    <w:rsid w:val="00542E0D"/>
    <w:rsid w:val="0054483D"/>
    <w:rsid w:val="00546C36"/>
    <w:rsid w:val="0055311C"/>
    <w:rsid w:val="00557AA1"/>
    <w:rsid w:val="005645D3"/>
    <w:rsid w:val="005663BA"/>
    <w:rsid w:val="00566CBB"/>
    <w:rsid w:val="005731EA"/>
    <w:rsid w:val="00580C31"/>
    <w:rsid w:val="00583A49"/>
    <w:rsid w:val="00584E13"/>
    <w:rsid w:val="00586F11"/>
    <w:rsid w:val="005870EE"/>
    <w:rsid w:val="00587496"/>
    <w:rsid w:val="005908C3"/>
    <w:rsid w:val="005943B0"/>
    <w:rsid w:val="0059442D"/>
    <w:rsid w:val="005963E8"/>
    <w:rsid w:val="005A18A4"/>
    <w:rsid w:val="005A4766"/>
    <w:rsid w:val="005A4D97"/>
    <w:rsid w:val="005A5A61"/>
    <w:rsid w:val="005A6846"/>
    <w:rsid w:val="005A6D8B"/>
    <w:rsid w:val="005A7181"/>
    <w:rsid w:val="005A7E4B"/>
    <w:rsid w:val="005B0FA4"/>
    <w:rsid w:val="005B1105"/>
    <w:rsid w:val="005B1829"/>
    <w:rsid w:val="005B5D00"/>
    <w:rsid w:val="005C00AC"/>
    <w:rsid w:val="005C215F"/>
    <w:rsid w:val="005C42CA"/>
    <w:rsid w:val="005C4345"/>
    <w:rsid w:val="005C43DA"/>
    <w:rsid w:val="005C466D"/>
    <w:rsid w:val="005C789B"/>
    <w:rsid w:val="005D135A"/>
    <w:rsid w:val="005D2F52"/>
    <w:rsid w:val="005D46F6"/>
    <w:rsid w:val="005D4E6B"/>
    <w:rsid w:val="005D6A92"/>
    <w:rsid w:val="005E04FE"/>
    <w:rsid w:val="005E117E"/>
    <w:rsid w:val="005E12B4"/>
    <w:rsid w:val="005E150E"/>
    <w:rsid w:val="005E3225"/>
    <w:rsid w:val="005E7482"/>
    <w:rsid w:val="005E7B12"/>
    <w:rsid w:val="005F0E8B"/>
    <w:rsid w:val="005F3BA0"/>
    <w:rsid w:val="005F5262"/>
    <w:rsid w:val="005F65A7"/>
    <w:rsid w:val="00600DF2"/>
    <w:rsid w:val="00601283"/>
    <w:rsid w:val="006016E0"/>
    <w:rsid w:val="00602C21"/>
    <w:rsid w:val="006041BB"/>
    <w:rsid w:val="0060469C"/>
    <w:rsid w:val="00606612"/>
    <w:rsid w:val="006069DE"/>
    <w:rsid w:val="00612D7E"/>
    <w:rsid w:val="00616EC6"/>
    <w:rsid w:val="00622BA2"/>
    <w:rsid w:val="00633632"/>
    <w:rsid w:val="006341BD"/>
    <w:rsid w:val="00634482"/>
    <w:rsid w:val="006347BE"/>
    <w:rsid w:val="006356C4"/>
    <w:rsid w:val="00636A59"/>
    <w:rsid w:val="00636C1F"/>
    <w:rsid w:val="00641FD5"/>
    <w:rsid w:val="0064263E"/>
    <w:rsid w:val="0064298F"/>
    <w:rsid w:val="006452D5"/>
    <w:rsid w:val="006456C7"/>
    <w:rsid w:val="0064587D"/>
    <w:rsid w:val="00653FC4"/>
    <w:rsid w:val="00655645"/>
    <w:rsid w:val="006558D7"/>
    <w:rsid w:val="00655CB3"/>
    <w:rsid w:val="00662357"/>
    <w:rsid w:val="00664D6E"/>
    <w:rsid w:val="006661A4"/>
    <w:rsid w:val="0066764A"/>
    <w:rsid w:val="00670552"/>
    <w:rsid w:val="00675735"/>
    <w:rsid w:val="00675E52"/>
    <w:rsid w:val="00680072"/>
    <w:rsid w:val="006800A2"/>
    <w:rsid w:val="00680CC4"/>
    <w:rsid w:val="00680EEC"/>
    <w:rsid w:val="0068128E"/>
    <w:rsid w:val="0068367F"/>
    <w:rsid w:val="00683887"/>
    <w:rsid w:val="00683DDF"/>
    <w:rsid w:val="00687999"/>
    <w:rsid w:val="00691BBA"/>
    <w:rsid w:val="00692203"/>
    <w:rsid w:val="00692295"/>
    <w:rsid w:val="00696EEA"/>
    <w:rsid w:val="00696FEF"/>
    <w:rsid w:val="006A0741"/>
    <w:rsid w:val="006A0B45"/>
    <w:rsid w:val="006A2E67"/>
    <w:rsid w:val="006A3DC1"/>
    <w:rsid w:val="006A5644"/>
    <w:rsid w:val="006A71EB"/>
    <w:rsid w:val="006B5846"/>
    <w:rsid w:val="006B5B45"/>
    <w:rsid w:val="006C1EAB"/>
    <w:rsid w:val="006C302B"/>
    <w:rsid w:val="006C32BC"/>
    <w:rsid w:val="006C4663"/>
    <w:rsid w:val="006C4830"/>
    <w:rsid w:val="006C4988"/>
    <w:rsid w:val="006C4D2A"/>
    <w:rsid w:val="006C6F73"/>
    <w:rsid w:val="006C790A"/>
    <w:rsid w:val="006C7F40"/>
    <w:rsid w:val="006D2B0B"/>
    <w:rsid w:val="006D3608"/>
    <w:rsid w:val="006D560A"/>
    <w:rsid w:val="006D5E9A"/>
    <w:rsid w:val="006D7125"/>
    <w:rsid w:val="006D7B83"/>
    <w:rsid w:val="006E016E"/>
    <w:rsid w:val="006E1173"/>
    <w:rsid w:val="006E1550"/>
    <w:rsid w:val="006E2F2B"/>
    <w:rsid w:val="006E4563"/>
    <w:rsid w:val="006E5465"/>
    <w:rsid w:val="006F1A60"/>
    <w:rsid w:val="006F24AE"/>
    <w:rsid w:val="006F2F80"/>
    <w:rsid w:val="006F7B0F"/>
    <w:rsid w:val="007016FA"/>
    <w:rsid w:val="00701C96"/>
    <w:rsid w:val="00701E8B"/>
    <w:rsid w:val="007070E3"/>
    <w:rsid w:val="00707567"/>
    <w:rsid w:val="00707D15"/>
    <w:rsid w:val="007101F0"/>
    <w:rsid w:val="00711349"/>
    <w:rsid w:val="00712A8E"/>
    <w:rsid w:val="00714617"/>
    <w:rsid w:val="0071692C"/>
    <w:rsid w:val="007201FE"/>
    <w:rsid w:val="00721A8E"/>
    <w:rsid w:val="00726CCC"/>
    <w:rsid w:val="00727554"/>
    <w:rsid w:val="00727725"/>
    <w:rsid w:val="00730AB1"/>
    <w:rsid w:val="00731E6E"/>
    <w:rsid w:val="0073357F"/>
    <w:rsid w:val="00733B6B"/>
    <w:rsid w:val="00735BA5"/>
    <w:rsid w:val="007430D5"/>
    <w:rsid w:val="007440E6"/>
    <w:rsid w:val="007445DB"/>
    <w:rsid w:val="00746361"/>
    <w:rsid w:val="00751B58"/>
    <w:rsid w:val="007570BB"/>
    <w:rsid w:val="00757139"/>
    <w:rsid w:val="00757B02"/>
    <w:rsid w:val="00757D5E"/>
    <w:rsid w:val="007613AA"/>
    <w:rsid w:val="0076140A"/>
    <w:rsid w:val="007615A8"/>
    <w:rsid w:val="00761E7F"/>
    <w:rsid w:val="007629D1"/>
    <w:rsid w:val="0076380F"/>
    <w:rsid w:val="007641FC"/>
    <w:rsid w:val="00772A80"/>
    <w:rsid w:val="0077586D"/>
    <w:rsid w:val="007762EB"/>
    <w:rsid w:val="00776803"/>
    <w:rsid w:val="00780465"/>
    <w:rsid w:val="00780FA3"/>
    <w:rsid w:val="00781400"/>
    <w:rsid w:val="00781E90"/>
    <w:rsid w:val="00782714"/>
    <w:rsid w:val="007843B7"/>
    <w:rsid w:val="007849C7"/>
    <w:rsid w:val="007856C6"/>
    <w:rsid w:val="007859FF"/>
    <w:rsid w:val="0079150F"/>
    <w:rsid w:val="00793B9D"/>
    <w:rsid w:val="007953B5"/>
    <w:rsid w:val="00795641"/>
    <w:rsid w:val="00795A90"/>
    <w:rsid w:val="007977A7"/>
    <w:rsid w:val="007A1958"/>
    <w:rsid w:val="007A1D16"/>
    <w:rsid w:val="007A3596"/>
    <w:rsid w:val="007A4884"/>
    <w:rsid w:val="007A4D8F"/>
    <w:rsid w:val="007A7855"/>
    <w:rsid w:val="007B08DC"/>
    <w:rsid w:val="007B12C5"/>
    <w:rsid w:val="007B1ACA"/>
    <w:rsid w:val="007B1BA5"/>
    <w:rsid w:val="007B346A"/>
    <w:rsid w:val="007B6CDF"/>
    <w:rsid w:val="007C0815"/>
    <w:rsid w:val="007C3C66"/>
    <w:rsid w:val="007C66CD"/>
    <w:rsid w:val="007C7FA8"/>
    <w:rsid w:val="007D0A31"/>
    <w:rsid w:val="007D2CF9"/>
    <w:rsid w:val="007D37E0"/>
    <w:rsid w:val="007D4361"/>
    <w:rsid w:val="007D5328"/>
    <w:rsid w:val="007D7A74"/>
    <w:rsid w:val="007E0353"/>
    <w:rsid w:val="007E0429"/>
    <w:rsid w:val="007E0FF7"/>
    <w:rsid w:val="007E17C1"/>
    <w:rsid w:val="007E2F17"/>
    <w:rsid w:val="007E55BB"/>
    <w:rsid w:val="007E5B91"/>
    <w:rsid w:val="007E7604"/>
    <w:rsid w:val="007F13DC"/>
    <w:rsid w:val="007F31E8"/>
    <w:rsid w:val="007F396F"/>
    <w:rsid w:val="007F3ED7"/>
    <w:rsid w:val="007F4318"/>
    <w:rsid w:val="007F5AF9"/>
    <w:rsid w:val="007F6762"/>
    <w:rsid w:val="007F6E1F"/>
    <w:rsid w:val="00800A7E"/>
    <w:rsid w:val="00805E84"/>
    <w:rsid w:val="00805F43"/>
    <w:rsid w:val="00810596"/>
    <w:rsid w:val="00810FFE"/>
    <w:rsid w:val="008124F0"/>
    <w:rsid w:val="00813DB9"/>
    <w:rsid w:val="00813DCB"/>
    <w:rsid w:val="00816526"/>
    <w:rsid w:val="00823323"/>
    <w:rsid w:val="0082401D"/>
    <w:rsid w:val="008243F8"/>
    <w:rsid w:val="00825DE2"/>
    <w:rsid w:val="00825E3B"/>
    <w:rsid w:val="0082654D"/>
    <w:rsid w:val="00830EE4"/>
    <w:rsid w:val="00831DEF"/>
    <w:rsid w:val="00836907"/>
    <w:rsid w:val="00841A10"/>
    <w:rsid w:val="0084235F"/>
    <w:rsid w:val="00843954"/>
    <w:rsid w:val="0084653E"/>
    <w:rsid w:val="00846FC1"/>
    <w:rsid w:val="00847436"/>
    <w:rsid w:val="00850495"/>
    <w:rsid w:val="00851796"/>
    <w:rsid w:val="00852CCF"/>
    <w:rsid w:val="008565D1"/>
    <w:rsid w:val="0086075E"/>
    <w:rsid w:val="0086079C"/>
    <w:rsid w:val="00860B96"/>
    <w:rsid w:val="00860FA0"/>
    <w:rsid w:val="008641BB"/>
    <w:rsid w:val="00872CE0"/>
    <w:rsid w:val="00873855"/>
    <w:rsid w:val="00873C76"/>
    <w:rsid w:val="00875591"/>
    <w:rsid w:val="008805E7"/>
    <w:rsid w:val="00881ED8"/>
    <w:rsid w:val="00882D14"/>
    <w:rsid w:val="008852B8"/>
    <w:rsid w:val="00885CBF"/>
    <w:rsid w:val="0088661C"/>
    <w:rsid w:val="0088675E"/>
    <w:rsid w:val="00887F44"/>
    <w:rsid w:val="00890DD2"/>
    <w:rsid w:val="008922A1"/>
    <w:rsid w:val="008A056B"/>
    <w:rsid w:val="008A08B7"/>
    <w:rsid w:val="008A0CEB"/>
    <w:rsid w:val="008A1349"/>
    <w:rsid w:val="008A3D14"/>
    <w:rsid w:val="008A3D3C"/>
    <w:rsid w:val="008A680F"/>
    <w:rsid w:val="008A6DB1"/>
    <w:rsid w:val="008B73D9"/>
    <w:rsid w:val="008C0317"/>
    <w:rsid w:val="008C1A74"/>
    <w:rsid w:val="008C2124"/>
    <w:rsid w:val="008C4238"/>
    <w:rsid w:val="008C54D0"/>
    <w:rsid w:val="008C5917"/>
    <w:rsid w:val="008D29B0"/>
    <w:rsid w:val="008D2CD8"/>
    <w:rsid w:val="008D2FB6"/>
    <w:rsid w:val="008D313A"/>
    <w:rsid w:val="008D4BC1"/>
    <w:rsid w:val="008D5D99"/>
    <w:rsid w:val="008D6FBF"/>
    <w:rsid w:val="008E19F1"/>
    <w:rsid w:val="008E4A4A"/>
    <w:rsid w:val="008F04E8"/>
    <w:rsid w:val="008F0CB3"/>
    <w:rsid w:val="008F1AA0"/>
    <w:rsid w:val="008F3BCA"/>
    <w:rsid w:val="008F5420"/>
    <w:rsid w:val="008F5E3E"/>
    <w:rsid w:val="008F6B0B"/>
    <w:rsid w:val="008F7FC7"/>
    <w:rsid w:val="0090359C"/>
    <w:rsid w:val="00905B73"/>
    <w:rsid w:val="009060B1"/>
    <w:rsid w:val="00906A06"/>
    <w:rsid w:val="00906CF9"/>
    <w:rsid w:val="009075E7"/>
    <w:rsid w:val="00907D95"/>
    <w:rsid w:val="009111F7"/>
    <w:rsid w:val="00914050"/>
    <w:rsid w:val="0091768E"/>
    <w:rsid w:val="00917A39"/>
    <w:rsid w:val="00920905"/>
    <w:rsid w:val="0092098F"/>
    <w:rsid w:val="00923C4C"/>
    <w:rsid w:val="0092759C"/>
    <w:rsid w:val="00927881"/>
    <w:rsid w:val="00932194"/>
    <w:rsid w:val="00932299"/>
    <w:rsid w:val="00932E26"/>
    <w:rsid w:val="00935773"/>
    <w:rsid w:val="00936515"/>
    <w:rsid w:val="00936BAD"/>
    <w:rsid w:val="00940E4C"/>
    <w:rsid w:val="009431CE"/>
    <w:rsid w:val="00944EDB"/>
    <w:rsid w:val="009467F9"/>
    <w:rsid w:val="00946ECC"/>
    <w:rsid w:val="00947D6F"/>
    <w:rsid w:val="009510D2"/>
    <w:rsid w:val="00952A37"/>
    <w:rsid w:val="0095360A"/>
    <w:rsid w:val="00953E22"/>
    <w:rsid w:val="00954432"/>
    <w:rsid w:val="00954627"/>
    <w:rsid w:val="00955FF1"/>
    <w:rsid w:val="009575C9"/>
    <w:rsid w:val="0096296D"/>
    <w:rsid w:val="00963A1D"/>
    <w:rsid w:val="00964F91"/>
    <w:rsid w:val="00965D3C"/>
    <w:rsid w:val="009704E8"/>
    <w:rsid w:val="00970F1E"/>
    <w:rsid w:val="00972165"/>
    <w:rsid w:val="0097237A"/>
    <w:rsid w:val="00973EE8"/>
    <w:rsid w:val="00974407"/>
    <w:rsid w:val="00977EA2"/>
    <w:rsid w:val="00981174"/>
    <w:rsid w:val="009815D1"/>
    <w:rsid w:val="009847F2"/>
    <w:rsid w:val="009858E4"/>
    <w:rsid w:val="00986FC8"/>
    <w:rsid w:val="0099205D"/>
    <w:rsid w:val="009925D3"/>
    <w:rsid w:val="009931BD"/>
    <w:rsid w:val="0099391B"/>
    <w:rsid w:val="00993E75"/>
    <w:rsid w:val="009961AF"/>
    <w:rsid w:val="00997ED7"/>
    <w:rsid w:val="009A1782"/>
    <w:rsid w:val="009A19B4"/>
    <w:rsid w:val="009A2F0C"/>
    <w:rsid w:val="009A559F"/>
    <w:rsid w:val="009B01ED"/>
    <w:rsid w:val="009B45E1"/>
    <w:rsid w:val="009B7144"/>
    <w:rsid w:val="009C33FD"/>
    <w:rsid w:val="009C6566"/>
    <w:rsid w:val="009C7E5E"/>
    <w:rsid w:val="009D2DB8"/>
    <w:rsid w:val="009D3468"/>
    <w:rsid w:val="009D3B7C"/>
    <w:rsid w:val="009D3E23"/>
    <w:rsid w:val="009E310B"/>
    <w:rsid w:val="009E4142"/>
    <w:rsid w:val="009E57FA"/>
    <w:rsid w:val="009E6755"/>
    <w:rsid w:val="009E7274"/>
    <w:rsid w:val="009F0877"/>
    <w:rsid w:val="009F0EF5"/>
    <w:rsid w:val="009F2E9F"/>
    <w:rsid w:val="009F3F85"/>
    <w:rsid w:val="009F435C"/>
    <w:rsid w:val="009F481A"/>
    <w:rsid w:val="009F54AB"/>
    <w:rsid w:val="009F6DC2"/>
    <w:rsid w:val="00A05776"/>
    <w:rsid w:val="00A07FD5"/>
    <w:rsid w:val="00A13A4E"/>
    <w:rsid w:val="00A173AB"/>
    <w:rsid w:val="00A216BD"/>
    <w:rsid w:val="00A22FA7"/>
    <w:rsid w:val="00A25999"/>
    <w:rsid w:val="00A2600F"/>
    <w:rsid w:val="00A26A5F"/>
    <w:rsid w:val="00A26C9F"/>
    <w:rsid w:val="00A27800"/>
    <w:rsid w:val="00A31F76"/>
    <w:rsid w:val="00A320B9"/>
    <w:rsid w:val="00A331D1"/>
    <w:rsid w:val="00A33344"/>
    <w:rsid w:val="00A336ED"/>
    <w:rsid w:val="00A33DAC"/>
    <w:rsid w:val="00A348D5"/>
    <w:rsid w:val="00A34F48"/>
    <w:rsid w:val="00A36EAF"/>
    <w:rsid w:val="00A42D9F"/>
    <w:rsid w:val="00A43B02"/>
    <w:rsid w:val="00A43BFA"/>
    <w:rsid w:val="00A44428"/>
    <w:rsid w:val="00A44532"/>
    <w:rsid w:val="00A44F37"/>
    <w:rsid w:val="00A52466"/>
    <w:rsid w:val="00A52485"/>
    <w:rsid w:val="00A52858"/>
    <w:rsid w:val="00A60309"/>
    <w:rsid w:val="00A6188F"/>
    <w:rsid w:val="00A646A6"/>
    <w:rsid w:val="00A64C89"/>
    <w:rsid w:val="00A70CFF"/>
    <w:rsid w:val="00A70ECB"/>
    <w:rsid w:val="00A715A9"/>
    <w:rsid w:val="00A7491D"/>
    <w:rsid w:val="00A7593E"/>
    <w:rsid w:val="00A76E93"/>
    <w:rsid w:val="00A770E3"/>
    <w:rsid w:val="00A80C44"/>
    <w:rsid w:val="00A80F41"/>
    <w:rsid w:val="00A82BDC"/>
    <w:rsid w:val="00A83F6B"/>
    <w:rsid w:val="00A84CC4"/>
    <w:rsid w:val="00A85534"/>
    <w:rsid w:val="00A85AFE"/>
    <w:rsid w:val="00A87965"/>
    <w:rsid w:val="00A926AD"/>
    <w:rsid w:val="00A9327B"/>
    <w:rsid w:val="00A96FAC"/>
    <w:rsid w:val="00A97379"/>
    <w:rsid w:val="00AA135C"/>
    <w:rsid w:val="00AA1511"/>
    <w:rsid w:val="00AA178F"/>
    <w:rsid w:val="00AA29D5"/>
    <w:rsid w:val="00AA3559"/>
    <w:rsid w:val="00AA3A39"/>
    <w:rsid w:val="00AA3DB5"/>
    <w:rsid w:val="00AA3EA9"/>
    <w:rsid w:val="00AA5FAE"/>
    <w:rsid w:val="00AA695F"/>
    <w:rsid w:val="00AA7A5C"/>
    <w:rsid w:val="00AB14D0"/>
    <w:rsid w:val="00AB2CBD"/>
    <w:rsid w:val="00AB3539"/>
    <w:rsid w:val="00AB3AD7"/>
    <w:rsid w:val="00AB3FB5"/>
    <w:rsid w:val="00AB43B6"/>
    <w:rsid w:val="00AB49FE"/>
    <w:rsid w:val="00AB5BF1"/>
    <w:rsid w:val="00AB65A4"/>
    <w:rsid w:val="00AB6BE9"/>
    <w:rsid w:val="00AC0D4B"/>
    <w:rsid w:val="00AC34CB"/>
    <w:rsid w:val="00AC4D6E"/>
    <w:rsid w:val="00AC5DAD"/>
    <w:rsid w:val="00AC76E8"/>
    <w:rsid w:val="00AC7E13"/>
    <w:rsid w:val="00AD13BD"/>
    <w:rsid w:val="00AD5E85"/>
    <w:rsid w:val="00AE009D"/>
    <w:rsid w:val="00AE242B"/>
    <w:rsid w:val="00AE317A"/>
    <w:rsid w:val="00AE3828"/>
    <w:rsid w:val="00AE5610"/>
    <w:rsid w:val="00AE6D6B"/>
    <w:rsid w:val="00AE7E8A"/>
    <w:rsid w:val="00AF0EB0"/>
    <w:rsid w:val="00AF34DE"/>
    <w:rsid w:val="00AF54C3"/>
    <w:rsid w:val="00AF6446"/>
    <w:rsid w:val="00AF6737"/>
    <w:rsid w:val="00AF7733"/>
    <w:rsid w:val="00B0025D"/>
    <w:rsid w:val="00B00575"/>
    <w:rsid w:val="00B00DDD"/>
    <w:rsid w:val="00B01DC4"/>
    <w:rsid w:val="00B03427"/>
    <w:rsid w:val="00B10447"/>
    <w:rsid w:val="00B15773"/>
    <w:rsid w:val="00B15BE3"/>
    <w:rsid w:val="00B17150"/>
    <w:rsid w:val="00B20D2D"/>
    <w:rsid w:val="00B20DE3"/>
    <w:rsid w:val="00B22041"/>
    <w:rsid w:val="00B24A51"/>
    <w:rsid w:val="00B31094"/>
    <w:rsid w:val="00B332F8"/>
    <w:rsid w:val="00B40E48"/>
    <w:rsid w:val="00B41571"/>
    <w:rsid w:val="00B42056"/>
    <w:rsid w:val="00B44B63"/>
    <w:rsid w:val="00B4651A"/>
    <w:rsid w:val="00B46AE5"/>
    <w:rsid w:val="00B47211"/>
    <w:rsid w:val="00B477F3"/>
    <w:rsid w:val="00B479A2"/>
    <w:rsid w:val="00B47EE6"/>
    <w:rsid w:val="00B50086"/>
    <w:rsid w:val="00B50125"/>
    <w:rsid w:val="00B52479"/>
    <w:rsid w:val="00B54805"/>
    <w:rsid w:val="00B54C95"/>
    <w:rsid w:val="00B57186"/>
    <w:rsid w:val="00B57EE1"/>
    <w:rsid w:val="00B60E89"/>
    <w:rsid w:val="00B61D5E"/>
    <w:rsid w:val="00B6252D"/>
    <w:rsid w:val="00B66F07"/>
    <w:rsid w:val="00B70BAA"/>
    <w:rsid w:val="00B718DB"/>
    <w:rsid w:val="00B7368D"/>
    <w:rsid w:val="00B744BA"/>
    <w:rsid w:val="00B74E30"/>
    <w:rsid w:val="00B82429"/>
    <w:rsid w:val="00B82C14"/>
    <w:rsid w:val="00B83E7A"/>
    <w:rsid w:val="00B86553"/>
    <w:rsid w:val="00B9036F"/>
    <w:rsid w:val="00B91FBE"/>
    <w:rsid w:val="00B92BBF"/>
    <w:rsid w:val="00B92E0E"/>
    <w:rsid w:val="00B931E9"/>
    <w:rsid w:val="00B9347F"/>
    <w:rsid w:val="00B94DDB"/>
    <w:rsid w:val="00B95CBD"/>
    <w:rsid w:val="00B964E1"/>
    <w:rsid w:val="00B966B5"/>
    <w:rsid w:val="00B972D6"/>
    <w:rsid w:val="00BA0493"/>
    <w:rsid w:val="00BA22E6"/>
    <w:rsid w:val="00BA2364"/>
    <w:rsid w:val="00BA23A2"/>
    <w:rsid w:val="00BA33A9"/>
    <w:rsid w:val="00BA4C26"/>
    <w:rsid w:val="00BA4E65"/>
    <w:rsid w:val="00BA6068"/>
    <w:rsid w:val="00BB33E0"/>
    <w:rsid w:val="00BB7EE0"/>
    <w:rsid w:val="00BC1F99"/>
    <w:rsid w:val="00BC4871"/>
    <w:rsid w:val="00BC4D5D"/>
    <w:rsid w:val="00BC7CD5"/>
    <w:rsid w:val="00BD1012"/>
    <w:rsid w:val="00BD2884"/>
    <w:rsid w:val="00BD39A0"/>
    <w:rsid w:val="00BD4EB2"/>
    <w:rsid w:val="00BD5097"/>
    <w:rsid w:val="00BD5761"/>
    <w:rsid w:val="00BD6D76"/>
    <w:rsid w:val="00BD7D77"/>
    <w:rsid w:val="00BE1321"/>
    <w:rsid w:val="00BE1950"/>
    <w:rsid w:val="00BE200A"/>
    <w:rsid w:val="00BE3C20"/>
    <w:rsid w:val="00BE4B8F"/>
    <w:rsid w:val="00BF155C"/>
    <w:rsid w:val="00BF17DF"/>
    <w:rsid w:val="00BF312A"/>
    <w:rsid w:val="00BF4212"/>
    <w:rsid w:val="00C0541C"/>
    <w:rsid w:val="00C06066"/>
    <w:rsid w:val="00C067F0"/>
    <w:rsid w:val="00C10672"/>
    <w:rsid w:val="00C11047"/>
    <w:rsid w:val="00C11DF3"/>
    <w:rsid w:val="00C11EC1"/>
    <w:rsid w:val="00C12450"/>
    <w:rsid w:val="00C15C6F"/>
    <w:rsid w:val="00C165A1"/>
    <w:rsid w:val="00C20740"/>
    <w:rsid w:val="00C22FB5"/>
    <w:rsid w:val="00C23C59"/>
    <w:rsid w:val="00C2583F"/>
    <w:rsid w:val="00C33173"/>
    <w:rsid w:val="00C33D5D"/>
    <w:rsid w:val="00C35F43"/>
    <w:rsid w:val="00C36A5C"/>
    <w:rsid w:val="00C36D39"/>
    <w:rsid w:val="00C423BA"/>
    <w:rsid w:val="00C45ACD"/>
    <w:rsid w:val="00C50D1D"/>
    <w:rsid w:val="00C53B5F"/>
    <w:rsid w:val="00C53C69"/>
    <w:rsid w:val="00C54522"/>
    <w:rsid w:val="00C55164"/>
    <w:rsid w:val="00C558E6"/>
    <w:rsid w:val="00C56A16"/>
    <w:rsid w:val="00C56F90"/>
    <w:rsid w:val="00C62071"/>
    <w:rsid w:val="00C62A1C"/>
    <w:rsid w:val="00C6671D"/>
    <w:rsid w:val="00C66820"/>
    <w:rsid w:val="00C71166"/>
    <w:rsid w:val="00C71788"/>
    <w:rsid w:val="00C73510"/>
    <w:rsid w:val="00C74BE1"/>
    <w:rsid w:val="00C74BE4"/>
    <w:rsid w:val="00C76777"/>
    <w:rsid w:val="00C778A3"/>
    <w:rsid w:val="00C7796A"/>
    <w:rsid w:val="00C815BF"/>
    <w:rsid w:val="00C826B3"/>
    <w:rsid w:val="00C82BDF"/>
    <w:rsid w:val="00C82C04"/>
    <w:rsid w:val="00C83DBD"/>
    <w:rsid w:val="00C85D31"/>
    <w:rsid w:val="00C8763B"/>
    <w:rsid w:val="00C92F37"/>
    <w:rsid w:val="00C9371A"/>
    <w:rsid w:val="00C95622"/>
    <w:rsid w:val="00C96695"/>
    <w:rsid w:val="00C96B99"/>
    <w:rsid w:val="00C975D7"/>
    <w:rsid w:val="00CA1E5E"/>
    <w:rsid w:val="00CA35F2"/>
    <w:rsid w:val="00CA4768"/>
    <w:rsid w:val="00CB06D1"/>
    <w:rsid w:val="00CB1039"/>
    <w:rsid w:val="00CB1B17"/>
    <w:rsid w:val="00CB2295"/>
    <w:rsid w:val="00CB3AC8"/>
    <w:rsid w:val="00CB6218"/>
    <w:rsid w:val="00CC416B"/>
    <w:rsid w:val="00CC658E"/>
    <w:rsid w:val="00CD07B0"/>
    <w:rsid w:val="00CD0F11"/>
    <w:rsid w:val="00CD27D6"/>
    <w:rsid w:val="00CD4831"/>
    <w:rsid w:val="00CD5E38"/>
    <w:rsid w:val="00CD7804"/>
    <w:rsid w:val="00CE0795"/>
    <w:rsid w:val="00CE4AEB"/>
    <w:rsid w:val="00CE5393"/>
    <w:rsid w:val="00CE69EB"/>
    <w:rsid w:val="00CE6A29"/>
    <w:rsid w:val="00CE7EBD"/>
    <w:rsid w:val="00CF01EF"/>
    <w:rsid w:val="00CF6CD5"/>
    <w:rsid w:val="00CF77A4"/>
    <w:rsid w:val="00CF7D09"/>
    <w:rsid w:val="00D00074"/>
    <w:rsid w:val="00D004DE"/>
    <w:rsid w:val="00D00769"/>
    <w:rsid w:val="00D0392A"/>
    <w:rsid w:val="00D0447F"/>
    <w:rsid w:val="00D054B6"/>
    <w:rsid w:val="00D104E4"/>
    <w:rsid w:val="00D15234"/>
    <w:rsid w:val="00D175E6"/>
    <w:rsid w:val="00D20D73"/>
    <w:rsid w:val="00D21407"/>
    <w:rsid w:val="00D23720"/>
    <w:rsid w:val="00D2387A"/>
    <w:rsid w:val="00D24053"/>
    <w:rsid w:val="00D25D38"/>
    <w:rsid w:val="00D32E09"/>
    <w:rsid w:val="00D33903"/>
    <w:rsid w:val="00D33981"/>
    <w:rsid w:val="00D40C2F"/>
    <w:rsid w:val="00D40ED4"/>
    <w:rsid w:val="00D46AA8"/>
    <w:rsid w:val="00D521D5"/>
    <w:rsid w:val="00D52469"/>
    <w:rsid w:val="00D5598F"/>
    <w:rsid w:val="00D56691"/>
    <w:rsid w:val="00D57697"/>
    <w:rsid w:val="00D61D7B"/>
    <w:rsid w:val="00D629C4"/>
    <w:rsid w:val="00D655D1"/>
    <w:rsid w:val="00D6744A"/>
    <w:rsid w:val="00D676E3"/>
    <w:rsid w:val="00D70362"/>
    <w:rsid w:val="00D725D5"/>
    <w:rsid w:val="00D72A76"/>
    <w:rsid w:val="00D75720"/>
    <w:rsid w:val="00D771DD"/>
    <w:rsid w:val="00D805F6"/>
    <w:rsid w:val="00D81485"/>
    <w:rsid w:val="00D83465"/>
    <w:rsid w:val="00D84383"/>
    <w:rsid w:val="00D85B45"/>
    <w:rsid w:val="00D93E8A"/>
    <w:rsid w:val="00D95EF5"/>
    <w:rsid w:val="00D96D4D"/>
    <w:rsid w:val="00D96FF8"/>
    <w:rsid w:val="00D9797E"/>
    <w:rsid w:val="00DA1045"/>
    <w:rsid w:val="00DA23F0"/>
    <w:rsid w:val="00DA255D"/>
    <w:rsid w:val="00DA4329"/>
    <w:rsid w:val="00DA46EA"/>
    <w:rsid w:val="00DA473D"/>
    <w:rsid w:val="00DA5311"/>
    <w:rsid w:val="00DA5EE0"/>
    <w:rsid w:val="00DA65D9"/>
    <w:rsid w:val="00DB120C"/>
    <w:rsid w:val="00DB142F"/>
    <w:rsid w:val="00DB1DD6"/>
    <w:rsid w:val="00DB361F"/>
    <w:rsid w:val="00DB367D"/>
    <w:rsid w:val="00DB3B29"/>
    <w:rsid w:val="00DB4665"/>
    <w:rsid w:val="00DB4E21"/>
    <w:rsid w:val="00DB5171"/>
    <w:rsid w:val="00DB54D4"/>
    <w:rsid w:val="00DB5600"/>
    <w:rsid w:val="00DB6532"/>
    <w:rsid w:val="00DB6E88"/>
    <w:rsid w:val="00DB7DF8"/>
    <w:rsid w:val="00DC0793"/>
    <w:rsid w:val="00DC16CA"/>
    <w:rsid w:val="00DC273C"/>
    <w:rsid w:val="00DC2DE1"/>
    <w:rsid w:val="00DC663A"/>
    <w:rsid w:val="00DC6F45"/>
    <w:rsid w:val="00DD0496"/>
    <w:rsid w:val="00DD0884"/>
    <w:rsid w:val="00DD10E8"/>
    <w:rsid w:val="00DD16EF"/>
    <w:rsid w:val="00DD3DE2"/>
    <w:rsid w:val="00DE13C5"/>
    <w:rsid w:val="00DE2983"/>
    <w:rsid w:val="00DE3A10"/>
    <w:rsid w:val="00DE4196"/>
    <w:rsid w:val="00DE4E0A"/>
    <w:rsid w:val="00DE5564"/>
    <w:rsid w:val="00DE63D8"/>
    <w:rsid w:val="00DF1F97"/>
    <w:rsid w:val="00DF461B"/>
    <w:rsid w:val="00E0288B"/>
    <w:rsid w:val="00E0374D"/>
    <w:rsid w:val="00E03A0F"/>
    <w:rsid w:val="00E059BE"/>
    <w:rsid w:val="00E070B4"/>
    <w:rsid w:val="00E12C8D"/>
    <w:rsid w:val="00E15AE5"/>
    <w:rsid w:val="00E209E7"/>
    <w:rsid w:val="00E20B5E"/>
    <w:rsid w:val="00E271CA"/>
    <w:rsid w:val="00E306E5"/>
    <w:rsid w:val="00E30B66"/>
    <w:rsid w:val="00E32EB0"/>
    <w:rsid w:val="00E3738C"/>
    <w:rsid w:val="00E3776E"/>
    <w:rsid w:val="00E37AF0"/>
    <w:rsid w:val="00E411B5"/>
    <w:rsid w:val="00E4796E"/>
    <w:rsid w:val="00E54008"/>
    <w:rsid w:val="00E60816"/>
    <w:rsid w:val="00E60B6E"/>
    <w:rsid w:val="00E61E33"/>
    <w:rsid w:val="00E626F9"/>
    <w:rsid w:val="00E63F89"/>
    <w:rsid w:val="00E665AA"/>
    <w:rsid w:val="00E67C5C"/>
    <w:rsid w:val="00E72280"/>
    <w:rsid w:val="00E74456"/>
    <w:rsid w:val="00E8293A"/>
    <w:rsid w:val="00E82AAD"/>
    <w:rsid w:val="00E84777"/>
    <w:rsid w:val="00E91361"/>
    <w:rsid w:val="00E92712"/>
    <w:rsid w:val="00E934D8"/>
    <w:rsid w:val="00E93790"/>
    <w:rsid w:val="00E93AE8"/>
    <w:rsid w:val="00E948F6"/>
    <w:rsid w:val="00E94985"/>
    <w:rsid w:val="00E952C0"/>
    <w:rsid w:val="00E9551F"/>
    <w:rsid w:val="00E95955"/>
    <w:rsid w:val="00EA09A7"/>
    <w:rsid w:val="00EA229F"/>
    <w:rsid w:val="00EA5253"/>
    <w:rsid w:val="00EA6C9A"/>
    <w:rsid w:val="00EB0239"/>
    <w:rsid w:val="00EB0DCB"/>
    <w:rsid w:val="00EB5698"/>
    <w:rsid w:val="00EB640D"/>
    <w:rsid w:val="00EC272E"/>
    <w:rsid w:val="00EC4659"/>
    <w:rsid w:val="00EC4FAB"/>
    <w:rsid w:val="00EC531F"/>
    <w:rsid w:val="00EC53CC"/>
    <w:rsid w:val="00EC667E"/>
    <w:rsid w:val="00EC6822"/>
    <w:rsid w:val="00ED17A2"/>
    <w:rsid w:val="00ED27C8"/>
    <w:rsid w:val="00ED4DE3"/>
    <w:rsid w:val="00ED51FD"/>
    <w:rsid w:val="00EE4B26"/>
    <w:rsid w:val="00EE50D3"/>
    <w:rsid w:val="00EE6FB0"/>
    <w:rsid w:val="00EE719A"/>
    <w:rsid w:val="00EE79FE"/>
    <w:rsid w:val="00EF0CCD"/>
    <w:rsid w:val="00EF1FD9"/>
    <w:rsid w:val="00EF7D65"/>
    <w:rsid w:val="00F028F2"/>
    <w:rsid w:val="00F03B5D"/>
    <w:rsid w:val="00F06FCC"/>
    <w:rsid w:val="00F07437"/>
    <w:rsid w:val="00F07AB9"/>
    <w:rsid w:val="00F105FB"/>
    <w:rsid w:val="00F11682"/>
    <w:rsid w:val="00F14D6A"/>
    <w:rsid w:val="00F15861"/>
    <w:rsid w:val="00F15A69"/>
    <w:rsid w:val="00F15DD7"/>
    <w:rsid w:val="00F170A4"/>
    <w:rsid w:val="00F277B7"/>
    <w:rsid w:val="00F30D73"/>
    <w:rsid w:val="00F311D0"/>
    <w:rsid w:val="00F32025"/>
    <w:rsid w:val="00F32D08"/>
    <w:rsid w:val="00F32D45"/>
    <w:rsid w:val="00F35D87"/>
    <w:rsid w:val="00F40CE1"/>
    <w:rsid w:val="00F419E7"/>
    <w:rsid w:val="00F44B47"/>
    <w:rsid w:val="00F47D12"/>
    <w:rsid w:val="00F5045C"/>
    <w:rsid w:val="00F5092F"/>
    <w:rsid w:val="00F51255"/>
    <w:rsid w:val="00F52093"/>
    <w:rsid w:val="00F53286"/>
    <w:rsid w:val="00F5378F"/>
    <w:rsid w:val="00F54177"/>
    <w:rsid w:val="00F54EE1"/>
    <w:rsid w:val="00F556EF"/>
    <w:rsid w:val="00F5685E"/>
    <w:rsid w:val="00F626E3"/>
    <w:rsid w:val="00F65063"/>
    <w:rsid w:val="00F65F16"/>
    <w:rsid w:val="00F70AB6"/>
    <w:rsid w:val="00F7103B"/>
    <w:rsid w:val="00F72A6C"/>
    <w:rsid w:val="00F73901"/>
    <w:rsid w:val="00F753A8"/>
    <w:rsid w:val="00F76CFF"/>
    <w:rsid w:val="00F76D1C"/>
    <w:rsid w:val="00F7735B"/>
    <w:rsid w:val="00F805EB"/>
    <w:rsid w:val="00F830A4"/>
    <w:rsid w:val="00F83430"/>
    <w:rsid w:val="00F8738A"/>
    <w:rsid w:val="00F908B9"/>
    <w:rsid w:val="00F91748"/>
    <w:rsid w:val="00F923B8"/>
    <w:rsid w:val="00F92421"/>
    <w:rsid w:val="00F94DDA"/>
    <w:rsid w:val="00F967AF"/>
    <w:rsid w:val="00F97F8F"/>
    <w:rsid w:val="00FA2BEF"/>
    <w:rsid w:val="00FA3477"/>
    <w:rsid w:val="00FA422E"/>
    <w:rsid w:val="00FA53AB"/>
    <w:rsid w:val="00FA5A32"/>
    <w:rsid w:val="00FA641E"/>
    <w:rsid w:val="00FA65AC"/>
    <w:rsid w:val="00FA72B1"/>
    <w:rsid w:val="00FA78AB"/>
    <w:rsid w:val="00FB26B3"/>
    <w:rsid w:val="00FB501D"/>
    <w:rsid w:val="00FB7965"/>
    <w:rsid w:val="00FC00B9"/>
    <w:rsid w:val="00FC059C"/>
    <w:rsid w:val="00FC10F7"/>
    <w:rsid w:val="00FC21FA"/>
    <w:rsid w:val="00FC35DC"/>
    <w:rsid w:val="00FC44EC"/>
    <w:rsid w:val="00FC6A7B"/>
    <w:rsid w:val="00FD07BB"/>
    <w:rsid w:val="00FD3C88"/>
    <w:rsid w:val="00FD4E11"/>
    <w:rsid w:val="00FD5C43"/>
    <w:rsid w:val="00FD5F25"/>
    <w:rsid w:val="00FD6C3E"/>
    <w:rsid w:val="00FE21C0"/>
    <w:rsid w:val="00FE5B17"/>
    <w:rsid w:val="00FE76ED"/>
    <w:rsid w:val="00FF0245"/>
    <w:rsid w:val="00FF0FD8"/>
    <w:rsid w:val="00FF19E5"/>
    <w:rsid w:val="00FF2D68"/>
    <w:rsid w:val="00FF4EB9"/>
    <w:rsid w:val="00FF6A3A"/>
    <w:rsid w:val="00FF7EB1"/>
    <w:rsid w:val="00FF7ECD"/>
    <w:rsid w:val="010B405F"/>
    <w:rsid w:val="01993880"/>
    <w:rsid w:val="01AC0C4C"/>
    <w:rsid w:val="01CC5EE4"/>
    <w:rsid w:val="01E303F1"/>
    <w:rsid w:val="01FB7EF6"/>
    <w:rsid w:val="024271AE"/>
    <w:rsid w:val="027C5214"/>
    <w:rsid w:val="02AC07E3"/>
    <w:rsid w:val="02E45A44"/>
    <w:rsid w:val="02FE20CD"/>
    <w:rsid w:val="0328467E"/>
    <w:rsid w:val="035C3044"/>
    <w:rsid w:val="03A644DC"/>
    <w:rsid w:val="03B24C65"/>
    <w:rsid w:val="042A6DBC"/>
    <w:rsid w:val="0430275A"/>
    <w:rsid w:val="043468AE"/>
    <w:rsid w:val="04620FC2"/>
    <w:rsid w:val="04784F50"/>
    <w:rsid w:val="04B073F7"/>
    <w:rsid w:val="04FA6940"/>
    <w:rsid w:val="055546B1"/>
    <w:rsid w:val="05A95563"/>
    <w:rsid w:val="05B0010D"/>
    <w:rsid w:val="05B009C4"/>
    <w:rsid w:val="05C375FE"/>
    <w:rsid w:val="05C64767"/>
    <w:rsid w:val="05DC421B"/>
    <w:rsid w:val="05F67A4A"/>
    <w:rsid w:val="05FF7F4E"/>
    <w:rsid w:val="06537889"/>
    <w:rsid w:val="067E7172"/>
    <w:rsid w:val="068F1F89"/>
    <w:rsid w:val="06A43CD8"/>
    <w:rsid w:val="06B451CD"/>
    <w:rsid w:val="070E48A8"/>
    <w:rsid w:val="073C1B5F"/>
    <w:rsid w:val="073C40D7"/>
    <w:rsid w:val="07411D23"/>
    <w:rsid w:val="074937F4"/>
    <w:rsid w:val="076A17A5"/>
    <w:rsid w:val="077010BF"/>
    <w:rsid w:val="077566D6"/>
    <w:rsid w:val="07A37C9C"/>
    <w:rsid w:val="07B05960"/>
    <w:rsid w:val="07BA64F3"/>
    <w:rsid w:val="07C05BA3"/>
    <w:rsid w:val="07E77E8D"/>
    <w:rsid w:val="080737D2"/>
    <w:rsid w:val="08692418"/>
    <w:rsid w:val="0874698D"/>
    <w:rsid w:val="08782D22"/>
    <w:rsid w:val="088C1E28"/>
    <w:rsid w:val="08BF694C"/>
    <w:rsid w:val="08E43147"/>
    <w:rsid w:val="090A7B0E"/>
    <w:rsid w:val="09972933"/>
    <w:rsid w:val="09A339CE"/>
    <w:rsid w:val="09A74F01"/>
    <w:rsid w:val="09D52009"/>
    <w:rsid w:val="09DB54E7"/>
    <w:rsid w:val="09EC78BF"/>
    <w:rsid w:val="0A0E31A7"/>
    <w:rsid w:val="0A140428"/>
    <w:rsid w:val="0A264F34"/>
    <w:rsid w:val="0A7D7072"/>
    <w:rsid w:val="0A8377B3"/>
    <w:rsid w:val="0AB36B90"/>
    <w:rsid w:val="0ACA6D38"/>
    <w:rsid w:val="0AD342F0"/>
    <w:rsid w:val="0AF30554"/>
    <w:rsid w:val="0B097154"/>
    <w:rsid w:val="0B196157"/>
    <w:rsid w:val="0B2625DD"/>
    <w:rsid w:val="0B4E2213"/>
    <w:rsid w:val="0B892BB1"/>
    <w:rsid w:val="0BA9238E"/>
    <w:rsid w:val="0BB023D2"/>
    <w:rsid w:val="0BC051FE"/>
    <w:rsid w:val="0BCD3A99"/>
    <w:rsid w:val="0C48085D"/>
    <w:rsid w:val="0C5F69A3"/>
    <w:rsid w:val="0C715203"/>
    <w:rsid w:val="0C9150D4"/>
    <w:rsid w:val="0C995743"/>
    <w:rsid w:val="0CFA46A4"/>
    <w:rsid w:val="0D0B4417"/>
    <w:rsid w:val="0D33558B"/>
    <w:rsid w:val="0D3E2B45"/>
    <w:rsid w:val="0D443F35"/>
    <w:rsid w:val="0D595810"/>
    <w:rsid w:val="0D951B17"/>
    <w:rsid w:val="0DD156F8"/>
    <w:rsid w:val="0DEA1BCB"/>
    <w:rsid w:val="0DEB5944"/>
    <w:rsid w:val="0E1B7FD7"/>
    <w:rsid w:val="0E1D4451"/>
    <w:rsid w:val="0E211365"/>
    <w:rsid w:val="0E215089"/>
    <w:rsid w:val="0E386E38"/>
    <w:rsid w:val="0E701B98"/>
    <w:rsid w:val="0E772366"/>
    <w:rsid w:val="0E9C0390"/>
    <w:rsid w:val="0ED65CAC"/>
    <w:rsid w:val="0EFE3455"/>
    <w:rsid w:val="0F293464"/>
    <w:rsid w:val="0F297032"/>
    <w:rsid w:val="0F2A424A"/>
    <w:rsid w:val="0F730F48"/>
    <w:rsid w:val="0F732090"/>
    <w:rsid w:val="0F786E19"/>
    <w:rsid w:val="0F9D3E41"/>
    <w:rsid w:val="0FB512B5"/>
    <w:rsid w:val="0FC21262"/>
    <w:rsid w:val="0FD06B9F"/>
    <w:rsid w:val="0FF07A4E"/>
    <w:rsid w:val="103E1A08"/>
    <w:rsid w:val="10A45717"/>
    <w:rsid w:val="10A971AF"/>
    <w:rsid w:val="10AC5161"/>
    <w:rsid w:val="10DB1C9F"/>
    <w:rsid w:val="111F4A5A"/>
    <w:rsid w:val="113373E5"/>
    <w:rsid w:val="115A0D82"/>
    <w:rsid w:val="116D4DA7"/>
    <w:rsid w:val="117D183D"/>
    <w:rsid w:val="11D57688"/>
    <w:rsid w:val="11E57A0B"/>
    <w:rsid w:val="120945EA"/>
    <w:rsid w:val="12225E6D"/>
    <w:rsid w:val="12292BF8"/>
    <w:rsid w:val="123E0FC1"/>
    <w:rsid w:val="12432BD2"/>
    <w:rsid w:val="124B1EC8"/>
    <w:rsid w:val="124E6F34"/>
    <w:rsid w:val="126006AE"/>
    <w:rsid w:val="127E6A08"/>
    <w:rsid w:val="128974EF"/>
    <w:rsid w:val="12C926DD"/>
    <w:rsid w:val="12CD2621"/>
    <w:rsid w:val="12DA4048"/>
    <w:rsid w:val="12F62DC0"/>
    <w:rsid w:val="130354DD"/>
    <w:rsid w:val="135B2C24"/>
    <w:rsid w:val="135D699C"/>
    <w:rsid w:val="13715463"/>
    <w:rsid w:val="13E52DC4"/>
    <w:rsid w:val="13F02804"/>
    <w:rsid w:val="140D0766"/>
    <w:rsid w:val="143D576D"/>
    <w:rsid w:val="147246C9"/>
    <w:rsid w:val="148B50A7"/>
    <w:rsid w:val="14922675"/>
    <w:rsid w:val="156B048A"/>
    <w:rsid w:val="158D4B19"/>
    <w:rsid w:val="15A11B3C"/>
    <w:rsid w:val="15BE1509"/>
    <w:rsid w:val="15E2587E"/>
    <w:rsid w:val="160F09AA"/>
    <w:rsid w:val="16B60DAC"/>
    <w:rsid w:val="16B76298"/>
    <w:rsid w:val="16D01B7A"/>
    <w:rsid w:val="16D71809"/>
    <w:rsid w:val="17555641"/>
    <w:rsid w:val="17957DD1"/>
    <w:rsid w:val="17E1466C"/>
    <w:rsid w:val="17F7195A"/>
    <w:rsid w:val="180A5FEA"/>
    <w:rsid w:val="1813462E"/>
    <w:rsid w:val="181A30AD"/>
    <w:rsid w:val="183879D7"/>
    <w:rsid w:val="18660A89"/>
    <w:rsid w:val="189A41EE"/>
    <w:rsid w:val="189C2FD9"/>
    <w:rsid w:val="189F7E47"/>
    <w:rsid w:val="18EC5D11"/>
    <w:rsid w:val="193150D2"/>
    <w:rsid w:val="193924DE"/>
    <w:rsid w:val="197B21F8"/>
    <w:rsid w:val="19913DC1"/>
    <w:rsid w:val="19B00ECB"/>
    <w:rsid w:val="19CB1467"/>
    <w:rsid w:val="19CC03D7"/>
    <w:rsid w:val="19D13C41"/>
    <w:rsid w:val="19D714B0"/>
    <w:rsid w:val="19D83220"/>
    <w:rsid w:val="19FE07AD"/>
    <w:rsid w:val="1A051B3B"/>
    <w:rsid w:val="1A1A73EA"/>
    <w:rsid w:val="1A1B4EBB"/>
    <w:rsid w:val="1A372CFF"/>
    <w:rsid w:val="1A3E5C3C"/>
    <w:rsid w:val="1A432C1F"/>
    <w:rsid w:val="1A646862"/>
    <w:rsid w:val="1A887EB6"/>
    <w:rsid w:val="1A8E06E4"/>
    <w:rsid w:val="1A952B54"/>
    <w:rsid w:val="1A9768B9"/>
    <w:rsid w:val="1A99565E"/>
    <w:rsid w:val="1AA82C35"/>
    <w:rsid w:val="1AC54203"/>
    <w:rsid w:val="1B1B26AB"/>
    <w:rsid w:val="1B7900EB"/>
    <w:rsid w:val="1B972C67"/>
    <w:rsid w:val="1BA22B7C"/>
    <w:rsid w:val="1BC02864"/>
    <w:rsid w:val="1BC2379D"/>
    <w:rsid w:val="1BD45152"/>
    <w:rsid w:val="1BF41E67"/>
    <w:rsid w:val="1BFB7B06"/>
    <w:rsid w:val="1C273FEB"/>
    <w:rsid w:val="1C5841A4"/>
    <w:rsid w:val="1C782A98"/>
    <w:rsid w:val="1C876497"/>
    <w:rsid w:val="1C9C4DED"/>
    <w:rsid w:val="1CAE4714"/>
    <w:rsid w:val="1CCD5614"/>
    <w:rsid w:val="1CE75D6B"/>
    <w:rsid w:val="1D4B1F5B"/>
    <w:rsid w:val="1D905BC0"/>
    <w:rsid w:val="1DB67A46"/>
    <w:rsid w:val="1DDC235C"/>
    <w:rsid w:val="1E0868EA"/>
    <w:rsid w:val="1E2E192B"/>
    <w:rsid w:val="1E3649B9"/>
    <w:rsid w:val="1E37496F"/>
    <w:rsid w:val="1E770B63"/>
    <w:rsid w:val="1E9952FE"/>
    <w:rsid w:val="1EB902E5"/>
    <w:rsid w:val="1EBC0009"/>
    <w:rsid w:val="1EDF1AE0"/>
    <w:rsid w:val="1EE405B4"/>
    <w:rsid w:val="1F264D74"/>
    <w:rsid w:val="1F3D184A"/>
    <w:rsid w:val="1F4924CA"/>
    <w:rsid w:val="1F5618CC"/>
    <w:rsid w:val="1F6068FA"/>
    <w:rsid w:val="1F954680"/>
    <w:rsid w:val="1FC059EA"/>
    <w:rsid w:val="1FF24910"/>
    <w:rsid w:val="1FF87B4F"/>
    <w:rsid w:val="1FFB37C4"/>
    <w:rsid w:val="20112FE8"/>
    <w:rsid w:val="202339CB"/>
    <w:rsid w:val="204C2272"/>
    <w:rsid w:val="207F49AA"/>
    <w:rsid w:val="20971013"/>
    <w:rsid w:val="20CA7543"/>
    <w:rsid w:val="211B40C5"/>
    <w:rsid w:val="215869F4"/>
    <w:rsid w:val="216252EF"/>
    <w:rsid w:val="217A2796"/>
    <w:rsid w:val="217B1C68"/>
    <w:rsid w:val="21DC692A"/>
    <w:rsid w:val="21F61A98"/>
    <w:rsid w:val="21FC1A76"/>
    <w:rsid w:val="229A1929"/>
    <w:rsid w:val="22C40B4F"/>
    <w:rsid w:val="22E24041"/>
    <w:rsid w:val="22EC1AEA"/>
    <w:rsid w:val="236118E9"/>
    <w:rsid w:val="236817F3"/>
    <w:rsid w:val="23D314CE"/>
    <w:rsid w:val="23E03BB2"/>
    <w:rsid w:val="241412F8"/>
    <w:rsid w:val="242477F2"/>
    <w:rsid w:val="2433701E"/>
    <w:rsid w:val="24396D35"/>
    <w:rsid w:val="244D0366"/>
    <w:rsid w:val="2483014E"/>
    <w:rsid w:val="24C70583"/>
    <w:rsid w:val="24EC5DD1"/>
    <w:rsid w:val="24FE0AAE"/>
    <w:rsid w:val="250133CD"/>
    <w:rsid w:val="2524556B"/>
    <w:rsid w:val="25336AEB"/>
    <w:rsid w:val="25494FC2"/>
    <w:rsid w:val="257D44A6"/>
    <w:rsid w:val="25A477D9"/>
    <w:rsid w:val="25A53AC0"/>
    <w:rsid w:val="25A86641"/>
    <w:rsid w:val="25EB1060"/>
    <w:rsid w:val="26266BF8"/>
    <w:rsid w:val="262D044F"/>
    <w:rsid w:val="264E03C6"/>
    <w:rsid w:val="264F7508"/>
    <w:rsid w:val="2650413E"/>
    <w:rsid w:val="26A22CFA"/>
    <w:rsid w:val="26A52B54"/>
    <w:rsid w:val="26AC1A34"/>
    <w:rsid w:val="26B9616A"/>
    <w:rsid w:val="26BF5BC3"/>
    <w:rsid w:val="26CA2142"/>
    <w:rsid w:val="26D72E0A"/>
    <w:rsid w:val="26DB4D3A"/>
    <w:rsid w:val="26DC3C24"/>
    <w:rsid w:val="26FB22FC"/>
    <w:rsid w:val="26FC6074"/>
    <w:rsid w:val="27106806"/>
    <w:rsid w:val="27252DB6"/>
    <w:rsid w:val="273F6EE4"/>
    <w:rsid w:val="276B0AF6"/>
    <w:rsid w:val="278047B0"/>
    <w:rsid w:val="27A05DC8"/>
    <w:rsid w:val="27A57760"/>
    <w:rsid w:val="27B6740C"/>
    <w:rsid w:val="27D112AE"/>
    <w:rsid w:val="28155093"/>
    <w:rsid w:val="281F201A"/>
    <w:rsid w:val="2853072B"/>
    <w:rsid w:val="28681C13"/>
    <w:rsid w:val="28930FA7"/>
    <w:rsid w:val="289C7B0E"/>
    <w:rsid w:val="289F669F"/>
    <w:rsid w:val="28EE36E3"/>
    <w:rsid w:val="2955739D"/>
    <w:rsid w:val="299C670B"/>
    <w:rsid w:val="299F1664"/>
    <w:rsid w:val="29C260B1"/>
    <w:rsid w:val="29D67050"/>
    <w:rsid w:val="29DD03DE"/>
    <w:rsid w:val="2A1059CA"/>
    <w:rsid w:val="2A417CC7"/>
    <w:rsid w:val="2A61691A"/>
    <w:rsid w:val="2AA32FDC"/>
    <w:rsid w:val="2ABA73DE"/>
    <w:rsid w:val="2ACA2711"/>
    <w:rsid w:val="2AF57FA3"/>
    <w:rsid w:val="2AFE060C"/>
    <w:rsid w:val="2B0C5FF2"/>
    <w:rsid w:val="2B285A09"/>
    <w:rsid w:val="2B3264F9"/>
    <w:rsid w:val="2B48517B"/>
    <w:rsid w:val="2B5C5315"/>
    <w:rsid w:val="2B723D14"/>
    <w:rsid w:val="2B8B0759"/>
    <w:rsid w:val="2B9845BD"/>
    <w:rsid w:val="2B9B21BC"/>
    <w:rsid w:val="2BA52AAD"/>
    <w:rsid w:val="2BA91CBB"/>
    <w:rsid w:val="2BB51860"/>
    <w:rsid w:val="2BB62C95"/>
    <w:rsid w:val="2BE13314"/>
    <w:rsid w:val="2C0B6D4E"/>
    <w:rsid w:val="2C1040C0"/>
    <w:rsid w:val="2C1D3DF7"/>
    <w:rsid w:val="2C6F14EE"/>
    <w:rsid w:val="2C73502A"/>
    <w:rsid w:val="2C7B6FAE"/>
    <w:rsid w:val="2C8B4F8E"/>
    <w:rsid w:val="2C944B1D"/>
    <w:rsid w:val="2CC118F2"/>
    <w:rsid w:val="2CD755B9"/>
    <w:rsid w:val="2D5478F6"/>
    <w:rsid w:val="2D947006"/>
    <w:rsid w:val="2D97349E"/>
    <w:rsid w:val="2D986AF6"/>
    <w:rsid w:val="2DAB102E"/>
    <w:rsid w:val="2DCE144A"/>
    <w:rsid w:val="2DD436E9"/>
    <w:rsid w:val="2DE2257A"/>
    <w:rsid w:val="2DF437DB"/>
    <w:rsid w:val="2E2A3C23"/>
    <w:rsid w:val="2E864E16"/>
    <w:rsid w:val="2E89643F"/>
    <w:rsid w:val="2E9A064C"/>
    <w:rsid w:val="2EB3170E"/>
    <w:rsid w:val="2ED51684"/>
    <w:rsid w:val="2EF17D60"/>
    <w:rsid w:val="2F1630CA"/>
    <w:rsid w:val="2F1C5505"/>
    <w:rsid w:val="2F301CCF"/>
    <w:rsid w:val="2F512BF4"/>
    <w:rsid w:val="2F8F3BF5"/>
    <w:rsid w:val="2FC763F8"/>
    <w:rsid w:val="2FD12EBD"/>
    <w:rsid w:val="2FDE6606"/>
    <w:rsid w:val="2FE54462"/>
    <w:rsid w:val="30A734F4"/>
    <w:rsid w:val="30A91101"/>
    <w:rsid w:val="30A91DD9"/>
    <w:rsid w:val="30B30929"/>
    <w:rsid w:val="30D47F19"/>
    <w:rsid w:val="30DC4F4C"/>
    <w:rsid w:val="315076E8"/>
    <w:rsid w:val="315B58E2"/>
    <w:rsid w:val="315F792B"/>
    <w:rsid w:val="318850D4"/>
    <w:rsid w:val="31AD2A0C"/>
    <w:rsid w:val="31B934DF"/>
    <w:rsid w:val="31BF65A8"/>
    <w:rsid w:val="31C0486E"/>
    <w:rsid w:val="32240245"/>
    <w:rsid w:val="322A64C1"/>
    <w:rsid w:val="322E3DE8"/>
    <w:rsid w:val="324F3206"/>
    <w:rsid w:val="32777805"/>
    <w:rsid w:val="328C18BE"/>
    <w:rsid w:val="32FD2138"/>
    <w:rsid w:val="330F782B"/>
    <w:rsid w:val="331C3D26"/>
    <w:rsid w:val="33242BDA"/>
    <w:rsid w:val="3344118A"/>
    <w:rsid w:val="33585719"/>
    <w:rsid w:val="33871A8A"/>
    <w:rsid w:val="338F274A"/>
    <w:rsid w:val="33945C1B"/>
    <w:rsid w:val="33AA1331"/>
    <w:rsid w:val="33B87FFA"/>
    <w:rsid w:val="34201B1F"/>
    <w:rsid w:val="34500549"/>
    <w:rsid w:val="34620C63"/>
    <w:rsid w:val="34780FBD"/>
    <w:rsid w:val="34D32B0A"/>
    <w:rsid w:val="34E765FA"/>
    <w:rsid w:val="354237EC"/>
    <w:rsid w:val="355234B6"/>
    <w:rsid w:val="3556260B"/>
    <w:rsid w:val="35812566"/>
    <w:rsid w:val="35D02BA5"/>
    <w:rsid w:val="363870C8"/>
    <w:rsid w:val="367D7C3A"/>
    <w:rsid w:val="368C2F70"/>
    <w:rsid w:val="36A278CA"/>
    <w:rsid w:val="36AD4DCD"/>
    <w:rsid w:val="36BB6393"/>
    <w:rsid w:val="36D41B00"/>
    <w:rsid w:val="372D5444"/>
    <w:rsid w:val="37735927"/>
    <w:rsid w:val="37785854"/>
    <w:rsid w:val="378639D6"/>
    <w:rsid w:val="37A64AE0"/>
    <w:rsid w:val="37D34FF4"/>
    <w:rsid w:val="37FA215C"/>
    <w:rsid w:val="380263EE"/>
    <w:rsid w:val="38245A2E"/>
    <w:rsid w:val="38590B6E"/>
    <w:rsid w:val="38C604F2"/>
    <w:rsid w:val="38D155B2"/>
    <w:rsid w:val="38FB0FD7"/>
    <w:rsid w:val="39167469"/>
    <w:rsid w:val="392A415A"/>
    <w:rsid w:val="39534219"/>
    <w:rsid w:val="3965355E"/>
    <w:rsid w:val="39864A4B"/>
    <w:rsid w:val="39B06BEC"/>
    <w:rsid w:val="39B913C9"/>
    <w:rsid w:val="3A150057"/>
    <w:rsid w:val="3A3A4200"/>
    <w:rsid w:val="3A3F02FA"/>
    <w:rsid w:val="3A606BEE"/>
    <w:rsid w:val="3A61177C"/>
    <w:rsid w:val="3A614714"/>
    <w:rsid w:val="3A8310D0"/>
    <w:rsid w:val="3AB808CE"/>
    <w:rsid w:val="3AD2116E"/>
    <w:rsid w:val="3AE66A84"/>
    <w:rsid w:val="3B0D363F"/>
    <w:rsid w:val="3B333C93"/>
    <w:rsid w:val="3B4C5C32"/>
    <w:rsid w:val="3B6651D3"/>
    <w:rsid w:val="3B725D38"/>
    <w:rsid w:val="3B936B4F"/>
    <w:rsid w:val="3BAC5E63"/>
    <w:rsid w:val="3BC91261"/>
    <w:rsid w:val="3BDD01BE"/>
    <w:rsid w:val="3C1B3ABE"/>
    <w:rsid w:val="3C423D71"/>
    <w:rsid w:val="3C667DC0"/>
    <w:rsid w:val="3C782BF7"/>
    <w:rsid w:val="3C8841DA"/>
    <w:rsid w:val="3C8E2251"/>
    <w:rsid w:val="3C9E5315"/>
    <w:rsid w:val="3CD13A14"/>
    <w:rsid w:val="3CE44B4F"/>
    <w:rsid w:val="3CFC6197"/>
    <w:rsid w:val="3CFE449C"/>
    <w:rsid w:val="3D167A38"/>
    <w:rsid w:val="3D46457E"/>
    <w:rsid w:val="3D6562C9"/>
    <w:rsid w:val="3D7C0C2C"/>
    <w:rsid w:val="3D8C1AF2"/>
    <w:rsid w:val="3D9D2B66"/>
    <w:rsid w:val="3DC725D3"/>
    <w:rsid w:val="3DD2549F"/>
    <w:rsid w:val="3DF91843"/>
    <w:rsid w:val="3DFF7CEF"/>
    <w:rsid w:val="3E271643"/>
    <w:rsid w:val="3E2E0DA2"/>
    <w:rsid w:val="3E32228E"/>
    <w:rsid w:val="3E860BED"/>
    <w:rsid w:val="3E88226F"/>
    <w:rsid w:val="3EA6703C"/>
    <w:rsid w:val="3EBF0F87"/>
    <w:rsid w:val="3EDC25BB"/>
    <w:rsid w:val="3F473ED8"/>
    <w:rsid w:val="3F4F20E4"/>
    <w:rsid w:val="3F50703F"/>
    <w:rsid w:val="3F766DD5"/>
    <w:rsid w:val="3F9E7896"/>
    <w:rsid w:val="3FB44627"/>
    <w:rsid w:val="3FBA0F5B"/>
    <w:rsid w:val="3FCB2073"/>
    <w:rsid w:val="3FCF3ECE"/>
    <w:rsid w:val="3FF531FB"/>
    <w:rsid w:val="406B009A"/>
    <w:rsid w:val="40763FCB"/>
    <w:rsid w:val="40B3559D"/>
    <w:rsid w:val="40BB2DD0"/>
    <w:rsid w:val="40D74EA2"/>
    <w:rsid w:val="40DB00D8"/>
    <w:rsid w:val="41326E0A"/>
    <w:rsid w:val="417C1E33"/>
    <w:rsid w:val="418E7855"/>
    <w:rsid w:val="41D66A53"/>
    <w:rsid w:val="41DB28EA"/>
    <w:rsid w:val="42213106"/>
    <w:rsid w:val="42442C5B"/>
    <w:rsid w:val="424C3A70"/>
    <w:rsid w:val="4255177A"/>
    <w:rsid w:val="4272745A"/>
    <w:rsid w:val="429A1049"/>
    <w:rsid w:val="42A12CB5"/>
    <w:rsid w:val="42A6360C"/>
    <w:rsid w:val="42D01A37"/>
    <w:rsid w:val="42DF6B1E"/>
    <w:rsid w:val="430A3B9B"/>
    <w:rsid w:val="43160791"/>
    <w:rsid w:val="433064B4"/>
    <w:rsid w:val="436874AB"/>
    <w:rsid w:val="43851473"/>
    <w:rsid w:val="43981822"/>
    <w:rsid w:val="43AA3272"/>
    <w:rsid w:val="43CC3AB9"/>
    <w:rsid w:val="43F211BE"/>
    <w:rsid w:val="44460609"/>
    <w:rsid w:val="444F1A18"/>
    <w:rsid w:val="447D214A"/>
    <w:rsid w:val="4484797D"/>
    <w:rsid w:val="449B0822"/>
    <w:rsid w:val="44B47048"/>
    <w:rsid w:val="44C07BF6"/>
    <w:rsid w:val="44D15EAF"/>
    <w:rsid w:val="44E81CBA"/>
    <w:rsid w:val="45224346"/>
    <w:rsid w:val="45335DBC"/>
    <w:rsid w:val="45335FE1"/>
    <w:rsid w:val="4564244F"/>
    <w:rsid w:val="458A2D7F"/>
    <w:rsid w:val="45B70BAF"/>
    <w:rsid w:val="45BA1277"/>
    <w:rsid w:val="45D67D64"/>
    <w:rsid w:val="45DD70CF"/>
    <w:rsid w:val="45F045C8"/>
    <w:rsid w:val="460A2104"/>
    <w:rsid w:val="461D2F1B"/>
    <w:rsid w:val="46421AD4"/>
    <w:rsid w:val="465C7CB5"/>
    <w:rsid w:val="46924513"/>
    <w:rsid w:val="46BA1434"/>
    <w:rsid w:val="46C03FD3"/>
    <w:rsid w:val="46C90C02"/>
    <w:rsid w:val="46DC2172"/>
    <w:rsid w:val="4726085D"/>
    <w:rsid w:val="474D668B"/>
    <w:rsid w:val="47AB562F"/>
    <w:rsid w:val="47B00DD6"/>
    <w:rsid w:val="47CA7D9C"/>
    <w:rsid w:val="47CC6A35"/>
    <w:rsid w:val="47D16F16"/>
    <w:rsid w:val="47D604EF"/>
    <w:rsid w:val="47F44954"/>
    <w:rsid w:val="48086251"/>
    <w:rsid w:val="4817039A"/>
    <w:rsid w:val="482268CA"/>
    <w:rsid w:val="487715FB"/>
    <w:rsid w:val="487E46E3"/>
    <w:rsid w:val="48B12D0A"/>
    <w:rsid w:val="48B50468"/>
    <w:rsid w:val="48BF76AF"/>
    <w:rsid w:val="49171663"/>
    <w:rsid w:val="491D1B99"/>
    <w:rsid w:val="49351DC7"/>
    <w:rsid w:val="495042D1"/>
    <w:rsid w:val="49661852"/>
    <w:rsid w:val="49804BB7"/>
    <w:rsid w:val="49933F63"/>
    <w:rsid w:val="49B6746C"/>
    <w:rsid w:val="49D70DB0"/>
    <w:rsid w:val="4A2614A0"/>
    <w:rsid w:val="4A534079"/>
    <w:rsid w:val="4A851D59"/>
    <w:rsid w:val="4ADC69F3"/>
    <w:rsid w:val="4ADF590D"/>
    <w:rsid w:val="4B164C29"/>
    <w:rsid w:val="4B58746D"/>
    <w:rsid w:val="4B69167A"/>
    <w:rsid w:val="4B6A4A06"/>
    <w:rsid w:val="4B837D34"/>
    <w:rsid w:val="4B962957"/>
    <w:rsid w:val="4BB5582F"/>
    <w:rsid w:val="4BD118E0"/>
    <w:rsid w:val="4BDE3E16"/>
    <w:rsid w:val="4BE372DC"/>
    <w:rsid w:val="4BEC2CBC"/>
    <w:rsid w:val="4CC72D98"/>
    <w:rsid w:val="4CD90133"/>
    <w:rsid w:val="4CE83F1B"/>
    <w:rsid w:val="4D0F6379"/>
    <w:rsid w:val="4D13189E"/>
    <w:rsid w:val="4D5D07CE"/>
    <w:rsid w:val="4DBB2C37"/>
    <w:rsid w:val="4DBE4874"/>
    <w:rsid w:val="4DBF7158"/>
    <w:rsid w:val="4DDD755C"/>
    <w:rsid w:val="4E0E0A20"/>
    <w:rsid w:val="4E326C84"/>
    <w:rsid w:val="4E6A0F63"/>
    <w:rsid w:val="4E6D76D3"/>
    <w:rsid w:val="4EA8070C"/>
    <w:rsid w:val="4EBA5E8A"/>
    <w:rsid w:val="4ECE0172"/>
    <w:rsid w:val="4F1E2ED6"/>
    <w:rsid w:val="4F5D5052"/>
    <w:rsid w:val="4F6463E1"/>
    <w:rsid w:val="4F6552B7"/>
    <w:rsid w:val="4F6B3C13"/>
    <w:rsid w:val="50385B91"/>
    <w:rsid w:val="503F0BFC"/>
    <w:rsid w:val="507C6E09"/>
    <w:rsid w:val="50962F12"/>
    <w:rsid w:val="50BF40CD"/>
    <w:rsid w:val="50DB26D2"/>
    <w:rsid w:val="5106687C"/>
    <w:rsid w:val="51154388"/>
    <w:rsid w:val="51560A8C"/>
    <w:rsid w:val="51764AF1"/>
    <w:rsid w:val="518F39B2"/>
    <w:rsid w:val="519A1216"/>
    <w:rsid w:val="51B203BF"/>
    <w:rsid w:val="51BD541C"/>
    <w:rsid w:val="51EE6435"/>
    <w:rsid w:val="51F933F6"/>
    <w:rsid w:val="51FA1BF0"/>
    <w:rsid w:val="522B2948"/>
    <w:rsid w:val="52462715"/>
    <w:rsid w:val="52795AAE"/>
    <w:rsid w:val="52A4759A"/>
    <w:rsid w:val="53051C89"/>
    <w:rsid w:val="53403699"/>
    <w:rsid w:val="5369163D"/>
    <w:rsid w:val="53815038"/>
    <w:rsid w:val="53AC4588"/>
    <w:rsid w:val="53B353DB"/>
    <w:rsid w:val="53C41B44"/>
    <w:rsid w:val="54647FD3"/>
    <w:rsid w:val="54703A7A"/>
    <w:rsid w:val="54897F4B"/>
    <w:rsid w:val="549E2395"/>
    <w:rsid w:val="54E148D5"/>
    <w:rsid w:val="54E3249D"/>
    <w:rsid w:val="54E832A8"/>
    <w:rsid w:val="54F975CB"/>
    <w:rsid w:val="55043FA3"/>
    <w:rsid w:val="552F56E3"/>
    <w:rsid w:val="55314FB7"/>
    <w:rsid w:val="555667CB"/>
    <w:rsid w:val="55743B33"/>
    <w:rsid w:val="558275C0"/>
    <w:rsid w:val="55B7080C"/>
    <w:rsid w:val="55D27F53"/>
    <w:rsid w:val="55F3310C"/>
    <w:rsid w:val="55F34962"/>
    <w:rsid w:val="56030598"/>
    <w:rsid w:val="56773459"/>
    <w:rsid w:val="567B67FA"/>
    <w:rsid w:val="5692745A"/>
    <w:rsid w:val="56A569FC"/>
    <w:rsid w:val="56C90DDF"/>
    <w:rsid w:val="56E10D84"/>
    <w:rsid w:val="576839E9"/>
    <w:rsid w:val="57B5321B"/>
    <w:rsid w:val="57B607A7"/>
    <w:rsid w:val="57C40364"/>
    <w:rsid w:val="57D85BBE"/>
    <w:rsid w:val="58033392"/>
    <w:rsid w:val="5813243B"/>
    <w:rsid w:val="582F1C0E"/>
    <w:rsid w:val="58352333"/>
    <w:rsid w:val="58523BC2"/>
    <w:rsid w:val="5853126A"/>
    <w:rsid w:val="58C6053D"/>
    <w:rsid w:val="591A60DB"/>
    <w:rsid w:val="591F781C"/>
    <w:rsid w:val="59314528"/>
    <w:rsid w:val="59374B66"/>
    <w:rsid w:val="59933A22"/>
    <w:rsid w:val="599E6993"/>
    <w:rsid w:val="59F362D1"/>
    <w:rsid w:val="5A0B7680"/>
    <w:rsid w:val="5A1804F3"/>
    <w:rsid w:val="5A1836E6"/>
    <w:rsid w:val="5A367002"/>
    <w:rsid w:val="5A393967"/>
    <w:rsid w:val="5A405C9C"/>
    <w:rsid w:val="5AC64BC4"/>
    <w:rsid w:val="5AF01470"/>
    <w:rsid w:val="5AF8272C"/>
    <w:rsid w:val="5AFD593B"/>
    <w:rsid w:val="5B242EC8"/>
    <w:rsid w:val="5B261F2B"/>
    <w:rsid w:val="5B2B06FA"/>
    <w:rsid w:val="5B2F6424"/>
    <w:rsid w:val="5B6A2566"/>
    <w:rsid w:val="5B8A1F1F"/>
    <w:rsid w:val="5BA66C84"/>
    <w:rsid w:val="5BB8371C"/>
    <w:rsid w:val="5C6D0DBF"/>
    <w:rsid w:val="5C7659A5"/>
    <w:rsid w:val="5C820917"/>
    <w:rsid w:val="5C961BA3"/>
    <w:rsid w:val="5CA7535F"/>
    <w:rsid w:val="5CB2531C"/>
    <w:rsid w:val="5CC67BF9"/>
    <w:rsid w:val="5CCD61CB"/>
    <w:rsid w:val="5CEB1EEF"/>
    <w:rsid w:val="5D013021"/>
    <w:rsid w:val="5D316CFC"/>
    <w:rsid w:val="5D8F4F70"/>
    <w:rsid w:val="5D910810"/>
    <w:rsid w:val="5DB2461B"/>
    <w:rsid w:val="5E1D4C3B"/>
    <w:rsid w:val="5E3C5408"/>
    <w:rsid w:val="5E410EE7"/>
    <w:rsid w:val="5E4A5266"/>
    <w:rsid w:val="5E79028D"/>
    <w:rsid w:val="5E79352B"/>
    <w:rsid w:val="5EBC2507"/>
    <w:rsid w:val="5ED45FB3"/>
    <w:rsid w:val="5ED5716B"/>
    <w:rsid w:val="5EF157B7"/>
    <w:rsid w:val="5F074FDA"/>
    <w:rsid w:val="5F253C57"/>
    <w:rsid w:val="5F2C33BA"/>
    <w:rsid w:val="5F6E01D2"/>
    <w:rsid w:val="5F722EFD"/>
    <w:rsid w:val="5F753F44"/>
    <w:rsid w:val="5F9E5EA4"/>
    <w:rsid w:val="5F9F6AB7"/>
    <w:rsid w:val="5FB1765F"/>
    <w:rsid w:val="5FC90A65"/>
    <w:rsid w:val="60097918"/>
    <w:rsid w:val="60320168"/>
    <w:rsid w:val="604F4F31"/>
    <w:rsid w:val="60870181"/>
    <w:rsid w:val="60925BF2"/>
    <w:rsid w:val="60A23FED"/>
    <w:rsid w:val="60AC5FCD"/>
    <w:rsid w:val="60D07D7A"/>
    <w:rsid w:val="60E94998"/>
    <w:rsid w:val="61314F95"/>
    <w:rsid w:val="61623540"/>
    <w:rsid w:val="616B1851"/>
    <w:rsid w:val="617C1E18"/>
    <w:rsid w:val="624A0A6B"/>
    <w:rsid w:val="624B2E2A"/>
    <w:rsid w:val="625A315D"/>
    <w:rsid w:val="627529DC"/>
    <w:rsid w:val="629417F0"/>
    <w:rsid w:val="63161C90"/>
    <w:rsid w:val="631D5A96"/>
    <w:rsid w:val="63212E5F"/>
    <w:rsid w:val="634E3CB8"/>
    <w:rsid w:val="637864A7"/>
    <w:rsid w:val="63C776A4"/>
    <w:rsid w:val="63D41FBE"/>
    <w:rsid w:val="63D70DF0"/>
    <w:rsid w:val="63E94592"/>
    <w:rsid w:val="63EF7D33"/>
    <w:rsid w:val="64530C68"/>
    <w:rsid w:val="64561191"/>
    <w:rsid w:val="6472739A"/>
    <w:rsid w:val="64783770"/>
    <w:rsid w:val="6483791E"/>
    <w:rsid w:val="648D38CF"/>
    <w:rsid w:val="64BE730A"/>
    <w:rsid w:val="64CB664F"/>
    <w:rsid w:val="65750EF0"/>
    <w:rsid w:val="6578278E"/>
    <w:rsid w:val="659B4A48"/>
    <w:rsid w:val="659B647C"/>
    <w:rsid w:val="65A16E78"/>
    <w:rsid w:val="65C1035B"/>
    <w:rsid w:val="661133BD"/>
    <w:rsid w:val="663C4DC4"/>
    <w:rsid w:val="6655487D"/>
    <w:rsid w:val="665C6CD5"/>
    <w:rsid w:val="666D7E19"/>
    <w:rsid w:val="6692787F"/>
    <w:rsid w:val="66927C84"/>
    <w:rsid w:val="66AB0941"/>
    <w:rsid w:val="66C21420"/>
    <w:rsid w:val="66C33EDD"/>
    <w:rsid w:val="66C51A03"/>
    <w:rsid w:val="66C8466B"/>
    <w:rsid w:val="66CA7019"/>
    <w:rsid w:val="66DF5748"/>
    <w:rsid w:val="66F34FD9"/>
    <w:rsid w:val="671F2D63"/>
    <w:rsid w:val="672F1676"/>
    <w:rsid w:val="67606D46"/>
    <w:rsid w:val="6762365F"/>
    <w:rsid w:val="67B473BE"/>
    <w:rsid w:val="67EE02EE"/>
    <w:rsid w:val="67F00FCB"/>
    <w:rsid w:val="68270DC7"/>
    <w:rsid w:val="686D346F"/>
    <w:rsid w:val="6878475E"/>
    <w:rsid w:val="68911619"/>
    <w:rsid w:val="68987360"/>
    <w:rsid w:val="68EE53C3"/>
    <w:rsid w:val="690D6222"/>
    <w:rsid w:val="6910701A"/>
    <w:rsid w:val="691B4A3D"/>
    <w:rsid w:val="69220A49"/>
    <w:rsid w:val="69286279"/>
    <w:rsid w:val="69485746"/>
    <w:rsid w:val="695B4D2F"/>
    <w:rsid w:val="695B664F"/>
    <w:rsid w:val="69B566C5"/>
    <w:rsid w:val="69B739BE"/>
    <w:rsid w:val="69F525FF"/>
    <w:rsid w:val="6A340CE3"/>
    <w:rsid w:val="6A4073A3"/>
    <w:rsid w:val="6A464C09"/>
    <w:rsid w:val="6A6662F1"/>
    <w:rsid w:val="6A703F54"/>
    <w:rsid w:val="6A814E63"/>
    <w:rsid w:val="6A843983"/>
    <w:rsid w:val="6A8C759C"/>
    <w:rsid w:val="6A905041"/>
    <w:rsid w:val="6AA07270"/>
    <w:rsid w:val="6AAA73EA"/>
    <w:rsid w:val="6AAD07CD"/>
    <w:rsid w:val="6AAD6A36"/>
    <w:rsid w:val="6ACE4BFE"/>
    <w:rsid w:val="6ADD6E0F"/>
    <w:rsid w:val="6AE52674"/>
    <w:rsid w:val="6B193969"/>
    <w:rsid w:val="6B6F096D"/>
    <w:rsid w:val="6B8A321B"/>
    <w:rsid w:val="6BA41ECD"/>
    <w:rsid w:val="6BD821D8"/>
    <w:rsid w:val="6BE71141"/>
    <w:rsid w:val="6C5E4175"/>
    <w:rsid w:val="6CAA35A1"/>
    <w:rsid w:val="6CB57810"/>
    <w:rsid w:val="6CCE55B8"/>
    <w:rsid w:val="6CD65360"/>
    <w:rsid w:val="6D6825DF"/>
    <w:rsid w:val="6D8D644D"/>
    <w:rsid w:val="6DB90499"/>
    <w:rsid w:val="6DC742B3"/>
    <w:rsid w:val="6DDC027E"/>
    <w:rsid w:val="6DDE33AA"/>
    <w:rsid w:val="6DE9315A"/>
    <w:rsid w:val="6DEA79AF"/>
    <w:rsid w:val="6DF51A12"/>
    <w:rsid w:val="6E31797E"/>
    <w:rsid w:val="6E535B46"/>
    <w:rsid w:val="6EEA46FD"/>
    <w:rsid w:val="6EFD7CFF"/>
    <w:rsid w:val="6F0F4163"/>
    <w:rsid w:val="6F2A1881"/>
    <w:rsid w:val="6F2C44FC"/>
    <w:rsid w:val="6F477AF3"/>
    <w:rsid w:val="6FA3330D"/>
    <w:rsid w:val="6FCD2479"/>
    <w:rsid w:val="6FD13561"/>
    <w:rsid w:val="6FEA4288"/>
    <w:rsid w:val="706F343A"/>
    <w:rsid w:val="70741C73"/>
    <w:rsid w:val="70B12840"/>
    <w:rsid w:val="70C154D4"/>
    <w:rsid w:val="70D2369A"/>
    <w:rsid w:val="70D53553"/>
    <w:rsid w:val="70EE5FFA"/>
    <w:rsid w:val="70F250FA"/>
    <w:rsid w:val="71575410"/>
    <w:rsid w:val="7157594D"/>
    <w:rsid w:val="71663DE2"/>
    <w:rsid w:val="718129CA"/>
    <w:rsid w:val="71A52D40"/>
    <w:rsid w:val="71A62431"/>
    <w:rsid w:val="71D01493"/>
    <w:rsid w:val="71D13952"/>
    <w:rsid w:val="722B0B6F"/>
    <w:rsid w:val="723809FA"/>
    <w:rsid w:val="724461BD"/>
    <w:rsid w:val="72737630"/>
    <w:rsid w:val="72A058EB"/>
    <w:rsid w:val="72BA3161"/>
    <w:rsid w:val="730E1E7E"/>
    <w:rsid w:val="732612AC"/>
    <w:rsid w:val="736D6EE8"/>
    <w:rsid w:val="737E18B7"/>
    <w:rsid w:val="7389329F"/>
    <w:rsid w:val="739E7864"/>
    <w:rsid w:val="73C208AB"/>
    <w:rsid w:val="73E24B69"/>
    <w:rsid w:val="74385FAF"/>
    <w:rsid w:val="748A57A2"/>
    <w:rsid w:val="74C774D2"/>
    <w:rsid w:val="74CF1C9F"/>
    <w:rsid w:val="75083F0D"/>
    <w:rsid w:val="75086ADE"/>
    <w:rsid w:val="75370412"/>
    <w:rsid w:val="754F1272"/>
    <w:rsid w:val="75661F23"/>
    <w:rsid w:val="758D672D"/>
    <w:rsid w:val="75C153E8"/>
    <w:rsid w:val="75FE5772"/>
    <w:rsid w:val="76045978"/>
    <w:rsid w:val="76084AC6"/>
    <w:rsid w:val="761F7088"/>
    <w:rsid w:val="76373F9F"/>
    <w:rsid w:val="76562678"/>
    <w:rsid w:val="76782096"/>
    <w:rsid w:val="769A5A66"/>
    <w:rsid w:val="76AA29C3"/>
    <w:rsid w:val="76D178BC"/>
    <w:rsid w:val="76E01F41"/>
    <w:rsid w:val="76FA22C3"/>
    <w:rsid w:val="77461551"/>
    <w:rsid w:val="7780719D"/>
    <w:rsid w:val="77B23127"/>
    <w:rsid w:val="77D052FC"/>
    <w:rsid w:val="781535E1"/>
    <w:rsid w:val="782B3415"/>
    <w:rsid w:val="7855386E"/>
    <w:rsid w:val="78654DF4"/>
    <w:rsid w:val="78881AC3"/>
    <w:rsid w:val="78A77F37"/>
    <w:rsid w:val="78AC0D11"/>
    <w:rsid w:val="78FB3726"/>
    <w:rsid w:val="79037688"/>
    <w:rsid w:val="7915769B"/>
    <w:rsid w:val="7938796B"/>
    <w:rsid w:val="796C3F60"/>
    <w:rsid w:val="796F3ADB"/>
    <w:rsid w:val="79774D4A"/>
    <w:rsid w:val="798A1875"/>
    <w:rsid w:val="798B1C36"/>
    <w:rsid w:val="79C227D8"/>
    <w:rsid w:val="79ED6E4F"/>
    <w:rsid w:val="79FB666F"/>
    <w:rsid w:val="79FF36E3"/>
    <w:rsid w:val="7A0C7938"/>
    <w:rsid w:val="7A147179"/>
    <w:rsid w:val="7A28432B"/>
    <w:rsid w:val="7A454EDD"/>
    <w:rsid w:val="7A6A4943"/>
    <w:rsid w:val="7A747570"/>
    <w:rsid w:val="7A9C7455"/>
    <w:rsid w:val="7AAD70B0"/>
    <w:rsid w:val="7AD4626C"/>
    <w:rsid w:val="7ADD6F62"/>
    <w:rsid w:val="7B42562A"/>
    <w:rsid w:val="7B45702D"/>
    <w:rsid w:val="7B4C229B"/>
    <w:rsid w:val="7C046963"/>
    <w:rsid w:val="7C297682"/>
    <w:rsid w:val="7C544A6F"/>
    <w:rsid w:val="7C925001"/>
    <w:rsid w:val="7CA85F50"/>
    <w:rsid w:val="7CBA4D22"/>
    <w:rsid w:val="7CD4168E"/>
    <w:rsid w:val="7CD76D83"/>
    <w:rsid w:val="7CF44998"/>
    <w:rsid w:val="7CF535F7"/>
    <w:rsid w:val="7D3C24FE"/>
    <w:rsid w:val="7D4B7D6D"/>
    <w:rsid w:val="7D690EE2"/>
    <w:rsid w:val="7D7B6DFB"/>
    <w:rsid w:val="7DBD2FDC"/>
    <w:rsid w:val="7DBF4A67"/>
    <w:rsid w:val="7DCB394B"/>
    <w:rsid w:val="7E195E1B"/>
    <w:rsid w:val="7E33329E"/>
    <w:rsid w:val="7E344E24"/>
    <w:rsid w:val="7E6775D2"/>
    <w:rsid w:val="7E683C9A"/>
    <w:rsid w:val="7E784D07"/>
    <w:rsid w:val="7E9B7BB0"/>
    <w:rsid w:val="7EC65E37"/>
    <w:rsid w:val="7ED83421"/>
    <w:rsid w:val="7ED92098"/>
    <w:rsid w:val="7EE73ACF"/>
    <w:rsid w:val="7F0349CC"/>
    <w:rsid w:val="7F3B5AA3"/>
    <w:rsid w:val="7FAB25EE"/>
    <w:rsid w:val="7FF61FAC"/>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uiPriority="99"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uiPriority="99" w:name="List Bullet 5"/>
    <w:lsdException w:qFormat="1" w:unhideWhenUsed="0" w:uiPriority="0" w:semiHidden="0" w:name="List Number 2"/>
    <w:lsdException w:qFormat="1" w:unhideWhenUsed="0" w:uiPriority="0" w:semiHidden="0"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22"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8"/>
      <w:lang w:val="en-US" w:eastAsia="zh-CN" w:bidi="ar-SA"/>
    </w:rPr>
  </w:style>
  <w:style w:type="paragraph" w:styleId="2">
    <w:name w:val="heading 1"/>
    <w:basedOn w:val="1"/>
    <w:next w:val="1"/>
    <w:qFormat/>
    <w:uiPriority w:val="0"/>
    <w:pPr>
      <w:keepNext/>
      <w:tabs>
        <w:tab w:val="left" w:pos="3360"/>
      </w:tabs>
      <w:snapToGrid w:val="0"/>
      <w:spacing w:before="100" w:beforeLines="100" w:beforeAutospacing="0" w:after="50" w:afterLines="50" w:afterAutospacing="0" w:line="800" w:lineRule="atLeast"/>
      <w:jc w:val="center"/>
      <w:outlineLvl w:val="0"/>
    </w:pPr>
    <w:rPr>
      <w:rFonts w:ascii="Times New Roman" w:hAnsi="Times New Roman" w:eastAsia="宋体"/>
      <w:sz w:val="36"/>
    </w:rPr>
  </w:style>
  <w:style w:type="paragraph" w:styleId="3">
    <w:name w:val="heading 2"/>
    <w:basedOn w:val="1"/>
    <w:next w:val="1"/>
    <w:link w:val="69"/>
    <w:qFormat/>
    <w:uiPriority w:val="0"/>
    <w:pPr>
      <w:keepNext/>
      <w:keepLines/>
      <w:adjustRightInd w:val="0"/>
      <w:snapToGrid w:val="0"/>
      <w:spacing w:line="360" w:lineRule="auto"/>
      <w:jc w:val="left"/>
      <w:outlineLvl w:val="1"/>
    </w:pPr>
    <w:rPr>
      <w:rFonts w:ascii="宋体" w:hAnsi="宋体"/>
    </w:rPr>
  </w:style>
  <w:style w:type="paragraph" w:styleId="4">
    <w:name w:val="heading 3"/>
    <w:basedOn w:val="1"/>
    <w:next w:val="1"/>
    <w:qFormat/>
    <w:uiPriority w:val="0"/>
    <w:pPr>
      <w:keepNext/>
      <w:keepLines/>
      <w:spacing w:before="260" w:beforeLines="0" w:beforeAutospacing="0" w:after="260" w:afterLines="0" w:afterAutospacing="0" w:line="413" w:lineRule="auto"/>
      <w:jc w:val="center"/>
      <w:outlineLvl w:val="2"/>
    </w:pPr>
    <w:rPr>
      <w:b/>
      <w:sz w:val="44"/>
    </w:rPr>
  </w:style>
  <w:style w:type="paragraph" w:styleId="5">
    <w:name w:val="heading 4"/>
    <w:basedOn w:val="1"/>
    <w:next w:val="1"/>
    <w:qFormat/>
    <w:uiPriority w:val="0"/>
    <w:pPr>
      <w:keepNext/>
      <w:keepLines/>
      <w:tabs>
        <w:tab w:val="left" w:pos="720"/>
      </w:tabs>
      <w:spacing w:before="560" w:after="290" w:line="377" w:lineRule="auto"/>
      <w:ind w:left="420" w:hanging="420"/>
      <w:outlineLvl w:val="3"/>
    </w:pPr>
    <w:rPr>
      <w:rFonts w:ascii="Arial" w:hAnsi="Arial" w:eastAsia="黑体"/>
      <w:b/>
    </w:rPr>
  </w:style>
  <w:style w:type="paragraph" w:styleId="6">
    <w:name w:val="heading 5"/>
    <w:basedOn w:val="1"/>
    <w:next w:val="1"/>
    <w:qFormat/>
    <w:uiPriority w:val="0"/>
    <w:pPr>
      <w:keepNext/>
      <w:keepLines/>
      <w:tabs>
        <w:tab w:val="left" w:pos="2551"/>
      </w:tabs>
      <w:spacing w:before="280" w:beforeLines="0" w:beforeAutospacing="0" w:after="290" w:afterLines="0" w:afterAutospacing="0" w:line="372" w:lineRule="auto"/>
      <w:ind w:left="2551" w:hanging="850"/>
      <w:outlineLvl w:val="4"/>
    </w:pPr>
    <w:rPr>
      <w:b/>
    </w:rPr>
  </w:style>
  <w:style w:type="paragraph" w:styleId="7">
    <w:name w:val="heading 6"/>
    <w:basedOn w:val="1"/>
    <w:next w:val="1"/>
    <w:qFormat/>
    <w:uiPriority w:val="0"/>
    <w:pPr>
      <w:keepNext/>
      <w:keepLines/>
      <w:tabs>
        <w:tab w:val="left" w:pos="1152"/>
      </w:tabs>
      <w:adjustRightInd w:val="0"/>
      <w:snapToGrid w:val="0"/>
      <w:spacing w:before="240" w:beforeLines="0" w:beforeAutospacing="0" w:after="64" w:afterLines="0" w:afterAutospacing="0" w:line="317" w:lineRule="auto"/>
      <w:ind w:left="1152" w:hanging="1152"/>
      <w:outlineLvl w:val="5"/>
    </w:pPr>
    <w:rPr>
      <w:rFonts w:ascii="Arial" w:hAnsi="Arial" w:eastAsia="黑体"/>
      <w:b/>
      <w:sz w:val="24"/>
    </w:rPr>
  </w:style>
  <w:style w:type="paragraph" w:styleId="8">
    <w:name w:val="heading 7"/>
    <w:basedOn w:val="1"/>
    <w:next w:val="1"/>
    <w:qFormat/>
    <w:uiPriority w:val="0"/>
    <w:pPr>
      <w:keepNext/>
      <w:keepLines/>
      <w:tabs>
        <w:tab w:val="left" w:pos="1296"/>
      </w:tabs>
      <w:adjustRightInd w:val="0"/>
      <w:snapToGrid w:val="0"/>
      <w:spacing w:before="240" w:beforeLines="0" w:beforeAutospacing="0" w:after="64" w:afterLines="0" w:afterAutospacing="0" w:line="317" w:lineRule="auto"/>
      <w:ind w:left="1296" w:hanging="1296"/>
      <w:outlineLvl w:val="6"/>
    </w:pPr>
    <w:rPr>
      <w:rFonts w:ascii="Arial" w:hAnsi="Arial" w:eastAsia="黑体"/>
      <w:b/>
      <w:sz w:val="24"/>
    </w:rPr>
  </w:style>
  <w:style w:type="paragraph" w:styleId="9">
    <w:name w:val="heading 8"/>
    <w:basedOn w:val="1"/>
    <w:next w:val="1"/>
    <w:qFormat/>
    <w:uiPriority w:val="0"/>
    <w:pPr>
      <w:keepNext/>
      <w:keepLines/>
      <w:tabs>
        <w:tab w:val="left" w:pos="1440"/>
      </w:tabs>
      <w:adjustRightInd w:val="0"/>
      <w:snapToGrid w:val="0"/>
      <w:spacing w:before="240" w:beforeLines="0" w:beforeAutospacing="0" w:after="64" w:afterLines="0" w:afterAutospacing="0" w:line="317" w:lineRule="auto"/>
      <w:ind w:left="1440" w:hanging="1440"/>
      <w:outlineLvl w:val="7"/>
    </w:pPr>
    <w:rPr>
      <w:rFonts w:ascii="Arial" w:hAnsi="Arial" w:eastAsia="黑体"/>
      <w:b/>
      <w:sz w:val="24"/>
    </w:rPr>
  </w:style>
  <w:style w:type="paragraph" w:styleId="10">
    <w:name w:val="heading 9"/>
    <w:basedOn w:val="1"/>
    <w:next w:val="1"/>
    <w:qFormat/>
    <w:uiPriority w:val="0"/>
    <w:pPr>
      <w:keepNext/>
      <w:keepLines/>
      <w:tabs>
        <w:tab w:val="left" w:pos="1584"/>
      </w:tabs>
      <w:adjustRightInd w:val="0"/>
      <w:snapToGrid w:val="0"/>
      <w:spacing w:before="240" w:beforeLines="0" w:beforeAutospacing="0" w:after="64" w:afterLines="0" w:afterAutospacing="0" w:line="317" w:lineRule="auto"/>
      <w:ind w:left="1584" w:hanging="1584"/>
      <w:outlineLvl w:val="8"/>
    </w:pPr>
    <w:rPr>
      <w:rFonts w:ascii="Arial" w:hAnsi="Arial" w:eastAsia="黑体"/>
      <w:b/>
      <w:sz w:val="24"/>
    </w:rPr>
  </w:style>
  <w:style w:type="character" w:default="1" w:styleId="61">
    <w:name w:val="Default Paragraph Font"/>
    <w:qFormat/>
    <w:uiPriority w:val="0"/>
  </w:style>
  <w:style w:type="table" w:default="1" w:styleId="59">
    <w:name w:val="Normal Table"/>
    <w:unhideWhenUsed/>
    <w:qFormat/>
    <w:uiPriority w:val="99"/>
    <w:tblPr>
      <w:tblCellMar>
        <w:top w:w="0" w:type="dxa"/>
        <w:left w:w="108" w:type="dxa"/>
        <w:bottom w:w="0" w:type="dxa"/>
        <w:right w:w="108" w:type="dxa"/>
      </w:tblCellMar>
    </w:tblPr>
  </w:style>
  <w:style w:type="paragraph" w:styleId="11">
    <w:name w:val="List 3"/>
    <w:basedOn w:val="1"/>
    <w:qFormat/>
    <w:uiPriority w:val="0"/>
    <w:pPr>
      <w:adjustRightInd w:val="0"/>
      <w:snapToGrid w:val="0"/>
      <w:spacing w:line="360" w:lineRule="auto"/>
      <w:ind w:left="100" w:leftChars="400" w:hanging="200" w:hangingChars="200"/>
    </w:pPr>
    <w:rPr>
      <w:sz w:val="24"/>
    </w:rPr>
  </w:style>
  <w:style w:type="paragraph" w:styleId="12">
    <w:name w:val="toc 7"/>
    <w:basedOn w:val="1"/>
    <w:next w:val="1"/>
    <w:qFormat/>
    <w:uiPriority w:val="0"/>
    <w:pPr>
      <w:ind w:left="2520" w:leftChars="1200"/>
    </w:pPr>
  </w:style>
  <w:style w:type="paragraph" w:styleId="13">
    <w:name w:val="List Number 2"/>
    <w:basedOn w:val="1"/>
    <w:qFormat/>
    <w:uiPriority w:val="0"/>
    <w:pPr>
      <w:tabs>
        <w:tab w:val="left" w:pos="780"/>
      </w:tabs>
      <w:spacing w:line="360" w:lineRule="auto"/>
      <w:ind w:left="780" w:hanging="360"/>
    </w:pPr>
    <w:rPr>
      <w:sz w:val="24"/>
    </w:rPr>
  </w:style>
  <w:style w:type="paragraph" w:styleId="14">
    <w:name w:val="List Bullet 4"/>
    <w:basedOn w:val="1"/>
    <w:qFormat/>
    <w:uiPriority w:val="0"/>
    <w:pPr>
      <w:widowControl/>
      <w:tabs>
        <w:tab w:val="left" w:pos="1134"/>
      </w:tabs>
      <w:adjustRightInd w:val="0"/>
      <w:snapToGrid w:val="0"/>
      <w:spacing w:before="120" w:line="280" w:lineRule="atLeast"/>
      <w:ind w:left="1418" w:hanging="284"/>
      <w:jc w:val="left"/>
    </w:pPr>
    <w:rPr>
      <w:rFonts w:ascii="宋体"/>
      <w:kern w:val="0"/>
      <w:sz w:val="22"/>
    </w:rPr>
  </w:style>
  <w:style w:type="paragraph" w:styleId="15">
    <w:name w:val="Normal Indent"/>
    <w:basedOn w:val="1"/>
    <w:qFormat/>
    <w:uiPriority w:val="0"/>
    <w:pPr>
      <w:adjustRightInd w:val="0"/>
      <w:snapToGrid w:val="0"/>
      <w:spacing w:line="360" w:lineRule="auto"/>
      <w:ind w:firstLine="420"/>
    </w:pPr>
    <w:rPr>
      <w:sz w:val="24"/>
    </w:rPr>
  </w:style>
  <w:style w:type="paragraph" w:styleId="16">
    <w:name w:val="caption"/>
    <w:basedOn w:val="1"/>
    <w:next w:val="1"/>
    <w:qFormat/>
    <w:uiPriority w:val="0"/>
    <w:pPr>
      <w:widowControl/>
      <w:tabs>
        <w:tab w:val="left" w:pos="1134"/>
      </w:tabs>
      <w:adjustRightInd w:val="0"/>
      <w:snapToGrid w:val="0"/>
      <w:spacing w:line="280" w:lineRule="atLeast"/>
      <w:jc w:val="left"/>
    </w:pPr>
    <w:rPr>
      <w:rFonts w:eastAsia="PMingLiU"/>
      <w:b/>
      <w:kern w:val="0"/>
      <w:sz w:val="24"/>
      <w:lang w:eastAsia="zh-TW"/>
    </w:rPr>
  </w:style>
  <w:style w:type="paragraph" w:styleId="17">
    <w:name w:val="Document Map"/>
    <w:basedOn w:val="1"/>
    <w:qFormat/>
    <w:uiPriority w:val="0"/>
    <w:pPr>
      <w:shd w:val="clear" w:color="auto" w:fill="000080"/>
    </w:pPr>
  </w:style>
  <w:style w:type="paragraph" w:styleId="18">
    <w:name w:val="toa heading"/>
    <w:basedOn w:val="1"/>
    <w:next w:val="1"/>
    <w:qFormat/>
    <w:uiPriority w:val="0"/>
    <w:pPr>
      <w:spacing w:before="120" w:beforeLines="0" w:beforeAutospacing="0"/>
    </w:pPr>
    <w:rPr>
      <w:rFonts w:ascii="Arial" w:hAnsi="Arial"/>
      <w:sz w:val="24"/>
    </w:rPr>
  </w:style>
  <w:style w:type="paragraph" w:styleId="19">
    <w:name w:val="annotation text"/>
    <w:basedOn w:val="1"/>
    <w:link w:val="70"/>
    <w:qFormat/>
    <w:uiPriority w:val="0"/>
    <w:pPr>
      <w:widowControl/>
      <w:tabs>
        <w:tab w:val="left" w:pos="1134"/>
      </w:tabs>
      <w:adjustRightInd w:val="0"/>
      <w:snapToGrid w:val="0"/>
      <w:spacing w:line="280" w:lineRule="atLeast"/>
      <w:jc w:val="left"/>
    </w:pPr>
    <w:rPr>
      <w:rFonts w:eastAsia="PMingLiU"/>
      <w:kern w:val="0"/>
      <w:sz w:val="24"/>
      <w:lang w:eastAsia="zh-TW"/>
    </w:rPr>
  </w:style>
  <w:style w:type="paragraph" w:styleId="20">
    <w:name w:val="Body Text 3"/>
    <w:basedOn w:val="1"/>
    <w:qFormat/>
    <w:uiPriority w:val="0"/>
    <w:pPr>
      <w:adjustRightInd w:val="0"/>
      <w:snapToGrid w:val="0"/>
      <w:spacing w:after="120" w:afterLines="0" w:afterAutospacing="0" w:line="360" w:lineRule="auto"/>
    </w:pPr>
    <w:rPr>
      <w:sz w:val="16"/>
    </w:rPr>
  </w:style>
  <w:style w:type="paragraph" w:styleId="21">
    <w:name w:val="List Bullet 3"/>
    <w:basedOn w:val="1"/>
    <w:qFormat/>
    <w:uiPriority w:val="0"/>
    <w:pPr>
      <w:tabs>
        <w:tab w:val="left" w:pos="1200"/>
      </w:tabs>
      <w:adjustRightInd w:val="0"/>
      <w:snapToGrid w:val="0"/>
      <w:spacing w:line="360" w:lineRule="auto"/>
      <w:ind w:left="1200" w:hanging="360"/>
    </w:pPr>
    <w:rPr>
      <w:sz w:val="24"/>
    </w:rPr>
  </w:style>
  <w:style w:type="paragraph" w:styleId="22">
    <w:name w:val="Body Text"/>
    <w:basedOn w:val="1"/>
    <w:next w:val="23"/>
    <w:qFormat/>
    <w:uiPriority w:val="0"/>
    <w:rPr>
      <w:rFonts w:ascii="仿宋_GB2312" w:eastAsia="仿宋_GB2312"/>
      <w:kern w:val="2"/>
      <w:sz w:val="32"/>
    </w:rPr>
  </w:style>
  <w:style w:type="paragraph" w:customStyle="1" w:styleId="23">
    <w:name w:val="引用1"/>
    <w:basedOn w:val="1"/>
    <w:next w:val="1"/>
    <w:qFormat/>
    <w:uiPriority w:val="0"/>
    <w:pPr>
      <w:wordWrap w:val="0"/>
      <w:spacing w:before="200" w:after="160"/>
      <w:ind w:left="864" w:right="864"/>
      <w:jc w:val="center"/>
    </w:pPr>
    <w:rPr>
      <w:i/>
    </w:rPr>
  </w:style>
  <w:style w:type="paragraph" w:styleId="24">
    <w:name w:val="Body Text Indent"/>
    <w:basedOn w:val="1"/>
    <w:qFormat/>
    <w:uiPriority w:val="0"/>
    <w:pPr>
      <w:spacing w:line="700" w:lineRule="exact"/>
      <w:ind w:left="960"/>
    </w:pPr>
    <w:rPr>
      <w:sz w:val="44"/>
    </w:rPr>
  </w:style>
  <w:style w:type="paragraph" w:styleId="25">
    <w:name w:val="List Number 3"/>
    <w:basedOn w:val="1"/>
    <w:qFormat/>
    <w:uiPriority w:val="0"/>
    <w:pPr>
      <w:tabs>
        <w:tab w:val="left" w:pos="2120"/>
      </w:tabs>
      <w:adjustRightInd w:val="0"/>
      <w:snapToGrid w:val="0"/>
      <w:spacing w:line="360" w:lineRule="auto"/>
      <w:ind w:left="2120" w:hanging="720"/>
    </w:pPr>
    <w:rPr>
      <w:sz w:val="24"/>
    </w:rPr>
  </w:style>
  <w:style w:type="paragraph" w:styleId="26">
    <w:name w:val="List 2"/>
    <w:basedOn w:val="1"/>
    <w:qFormat/>
    <w:uiPriority w:val="0"/>
    <w:pPr>
      <w:adjustRightInd w:val="0"/>
      <w:snapToGrid w:val="0"/>
      <w:spacing w:line="360" w:lineRule="auto"/>
      <w:ind w:left="100" w:leftChars="200" w:hanging="200" w:hangingChars="200"/>
    </w:pPr>
    <w:rPr>
      <w:sz w:val="24"/>
    </w:rPr>
  </w:style>
  <w:style w:type="paragraph" w:styleId="27">
    <w:name w:val="List Continue"/>
    <w:basedOn w:val="1"/>
    <w:qFormat/>
    <w:uiPriority w:val="0"/>
    <w:pPr>
      <w:adjustRightInd w:val="0"/>
      <w:snapToGrid w:val="0"/>
      <w:spacing w:after="120" w:afterLines="0" w:afterAutospacing="0" w:line="360" w:lineRule="auto"/>
      <w:ind w:left="420" w:leftChars="200"/>
    </w:pPr>
    <w:rPr>
      <w:sz w:val="24"/>
    </w:rPr>
  </w:style>
  <w:style w:type="paragraph" w:styleId="28">
    <w:name w:val="List Bullet 2"/>
    <w:basedOn w:val="1"/>
    <w:qFormat/>
    <w:uiPriority w:val="0"/>
    <w:pPr>
      <w:tabs>
        <w:tab w:val="left" w:pos="780"/>
      </w:tabs>
      <w:adjustRightInd w:val="0"/>
      <w:snapToGrid w:val="0"/>
      <w:spacing w:line="360" w:lineRule="auto"/>
      <w:ind w:left="780" w:hanging="360"/>
    </w:pPr>
    <w:rPr>
      <w:sz w:val="24"/>
    </w:rPr>
  </w:style>
  <w:style w:type="paragraph" w:styleId="29">
    <w:name w:val="toc 5"/>
    <w:basedOn w:val="1"/>
    <w:next w:val="1"/>
    <w:qFormat/>
    <w:uiPriority w:val="0"/>
    <w:pPr>
      <w:ind w:left="1680" w:leftChars="800"/>
    </w:pPr>
  </w:style>
  <w:style w:type="paragraph" w:styleId="30">
    <w:name w:val="toc 3"/>
    <w:basedOn w:val="1"/>
    <w:next w:val="1"/>
    <w:qFormat/>
    <w:uiPriority w:val="0"/>
    <w:pPr>
      <w:ind w:left="840" w:leftChars="400"/>
    </w:pPr>
  </w:style>
  <w:style w:type="paragraph" w:styleId="31">
    <w:name w:val="Plain Text"/>
    <w:basedOn w:val="1"/>
    <w:qFormat/>
    <w:uiPriority w:val="0"/>
    <w:pPr>
      <w:adjustRightInd w:val="0"/>
      <w:snapToGrid w:val="0"/>
      <w:spacing w:line="360" w:lineRule="auto"/>
    </w:pPr>
    <w:rPr>
      <w:rFonts w:ascii="宋体" w:hAnsi="Courier New"/>
      <w:sz w:val="21"/>
    </w:rPr>
  </w:style>
  <w:style w:type="paragraph" w:styleId="32">
    <w:name w:val="toc 8"/>
    <w:basedOn w:val="1"/>
    <w:next w:val="1"/>
    <w:qFormat/>
    <w:uiPriority w:val="0"/>
    <w:pPr>
      <w:ind w:left="2940" w:leftChars="1400"/>
    </w:pPr>
  </w:style>
  <w:style w:type="paragraph" w:styleId="33">
    <w:name w:val="Date"/>
    <w:basedOn w:val="1"/>
    <w:next w:val="1"/>
    <w:link w:val="71"/>
    <w:qFormat/>
    <w:uiPriority w:val="0"/>
  </w:style>
  <w:style w:type="paragraph" w:styleId="34">
    <w:name w:val="Body Text Indent 2"/>
    <w:basedOn w:val="1"/>
    <w:qFormat/>
    <w:uiPriority w:val="0"/>
    <w:pPr>
      <w:snapToGrid w:val="0"/>
      <w:spacing w:line="440" w:lineRule="atLeast"/>
      <w:ind w:firstLine="570"/>
    </w:pPr>
    <w:rPr>
      <w:rFonts w:ascii="宋体"/>
    </w:rPr>
  </w:style>
  <w:style w:type="paragraph" w:styleId="35">
    <w:name w:val="Balloon Text"/>
    <w:basedOn w:val="1"/>
    <w:qFormat/>
    <w:uiPriority w:val="0"/>
    <w:rPr>
      <w:sz w:val="18"/>
    </w:rPr>
  </w:style>
  <w:style w:type="paragraph" w:styleId="36">
    <w:name w:val="footer"/>
    <w:basedOn w:val="1"/>
    <w:qFormat/>
    <w:uiPriority w:val="0"/>
    <w:pPr>
      <w:tabs>
        <w:tab w:val="center" w:pos="4153"/>
        <w:tab w:val="right" w:pos="8306"/>
      </w:tabs>
      <w:snapToGrid w:val="0"/>
      <w:jc w:val="left"/>
    </w:pPr>
    <w:rPr>
      <w:rFonts w:eastAsia="宋体"/>
      <w:kern w:val="2"/>
      <w:sz w:val="18"/>
      <w:lang w:val="en-US" w:eastAsia="zh-CN"/>
    </w:rPr>
  </w:style>
  <w:style w:type="paragraph" w:styleId="37">
    <w:name w:val="header"/>
    <w:basedOn w:val="1"/>
    <w:qFormat/>
    <w:uiPriority w:val="0"/>
    <w:pPr>
      <w:pBdr>
        <w:bottom w:val="single" w:color="auto" w:sz="6" w:space="1"/>
      </w:pBdr>
      <w:tabs>
        <w:tab w:val="center" w:pos="4153"/>
        <w:tab w:val="right" w:pos="8306"/>
      </w:tabs>
      <w:snapToGrid w:val="0"/>
      <w:jc w:val="center"/>
    </w:pPr>
    <w:rPr>
      <w:rFonts w:eastAsia="宋体"/>
      <w:kern w:val="2"/>
      <w:sz w:val="18"/>
      <w:lang w:val="en-US" w:eastAsia="zh-CN"/>
    </w:rPr>
  </w:style>
  <w:style w:type="paragraph" w:styleId="38">
    <w:name w:val="toc 1"/>
    <w:basedOn w:val="1"/>
    <w:next w:val="1"/>
    <w:qFormat/>
    <w:uiPriority w:val="39"/>
    <w:pPr>
      <w:tabs>
        <w:tab w:val="left" w:pos="1260"/>
        <w:tab w:val="left" w:pos="1685"/>
        <w:tab w:val="right" w:leader="dot" w:pos="8400"/>
      </w:tabs>
      <w:spacing w:line="360" w:lineRule="auto"/>
      <w:ind w:firstLine="0" w:firstLineChars="0"/>
    </w:pPr>
    <w:rPr>
      <w:rFonts w:ascii="Times New Roman" w:hAnsi="Times New Roman" w:eastAsia="宋体"/>
      <w:b/>
      <w:sz w:val="24"/>
    </w:rPr>
  </w:style>
  <w:style w:type="paragraph" w:styleId="39">
    <w:name w:val="List Continue 4"/>
    <w:basedOn w:val="1"/>
    <w:qFormat/>
    <w:uiPriority w:val="0"/>
    <w:pPr>
      <w:adjustRightInd w:val="0"/>
      <w:snapToGrid w:val="0"/>
      <w:spacing w:after="120" w:afterLines="0" w:afterAutospacing="0" w:line="360" w:lineRule="auto"/>
      <w:ind w:left="1680" w:leftChars="800"/>
    </w:pPr>
    <w:rPr>
      <w:sz w:val="24"/>
    </w:rPr>
  </w:style>
  <w:style w:type="paragraph" w:styleId="40">
    <w:name w:val="toc 4"/>
    <w:basedOn w:val="1"/>
    <w:next w:val="1"/>
    <w:qFormat/>
    <w:uiPriority w:val="0"/>
    <w:pPr>
      <w:ind w:left="1260" w:leftChars="600"/>
    </w:pPr>
  </w:style>
  <w:style w:type="paragraph" w:styleId="41">
    <w:name w:val="footnote text"/>
    <w:basedOn w:val="1"/>
    <w:qFormat/>
    <w:uiPriority w:val="0"/>
    <w:pPr>
      <w:spacing w:line="360" w:lineRule="auto"/>
    </w:pPr>
    <w:rPr>
      <w:sz w:val="18"/>
    </w:rPr>
  </w:style>
  <w:style w:type="paragraph" w:styleId="42">
    <w:name w:val="toc 6"/>
    <w:basedOn w:val="1"/>
    <w:next w:val="1"/>
    <w:qFormat/>
    <w:uiPriority w:val="0"/>
    <w:pPr>
      <w:ind w:left="2100" w:leftChars="1000"/>
    </w:pPr>
  </w:style>
  <w:style w:type="paragraph" w:styleId="43">
    <w:name w:val="List 5"/>
    <w:basedOn w:val="1"/>
    <w:qFormat/>
    <w:uiPriority w:val="0"/>
    <w:pPr>
      <w:adjustRightInd w:val="0"/>
      <w:snapToGrid w:val="0"/>
      <w:spacing w:line="360" w:lineRule="auto"/>
      <w:ind w:left="100" w:leftChars="800" w:hanging="200" w:hangingChars="200"/>
    </w:pPr>
    <w:rPr>
      <w:sz w:val="24"/>
    </w:rPr>
  </w:style>
  <w:style w:type="paragraph" w:styleId="44">
    <w:name w:val="Body Text Indent 3"/>
    <w:basedOn w:val="1"/>
    <w:qFormat/>
    <w:uiPriority w:val="0"/>
    <w:pPr>
      <w:spacing w:line="360" w:lineRule="auto"/>
      <w:ind w:firstLine="632"/>
    </w:pPr>
    <w:rPr>
      <w:rFonts w:ascii="黑体" w:eastAsia="黑体"/>
    </w:rPr>
  </w:style>
  <w:style w:type="paragraph" w:styleId="45">
    <w:name w:val="table of figures"/>
    <w:basedOn w:val="1"/>
    <w:next w:val="1"/>
    <w:qFormat/>
    <w:uiPriority w:val="0"/>
    <w:pPr>
      <w:tabs>
        <w:tab w:val="right" w:leader="dot" w:pos="8640"/>
      </w:tabs>
      <w:spacing w:line="360" w:lineRule="auto"/>
      <w:ind w:left="400" w:hanging="400"/>
    </w:pPr>
    <w:rPr>
      <w:sz w:val="24"/>
    </w:rPr>
  </w:style>
  <w:style w:type="paragraph" w:styleId="46">
    <w:name w:val="toc 2"/>
    <w:basedOn w:val="1"/>
    <w:next w:val="1"/>
    <w:qFormat/>
    <w:uiPriority w:val="39"/>
    <w:pPr>
      <w:tabs>
        <w:tab w:val="right" w:leader="dot" w:pos="8400"/>
      </w:tabs>
      <w:spacing w:line="360" w:lineRule="auto"/>
      <w:ind w:left="278" w:leftChars="0" w:rightChars="0" w:firstLine="1040" w:firstLineChars="200"/>
    </w:pPr>
    <w:rPr>
      <w:rFonts w:ascii="Times New Roman" w:hAnsi="Times New Roman" w:eastAsia="宋体"/>
      <w:sz w:val="24"/>
    </w:rPr>
  </w:style>
  <w:style w:type="paragraph" w:styleId="47">
    <w:name w:val="toc 9"/>
    <w:basedOn w:val="1"/>
    <w:next w:val="1"/>
    <w:qFormat/>
    <w:uiPriority w:val="0"/>
    <w:pPr>
      <w:ind w:left="3360" w:leftChars="1600"/>
    </w:pPr>
  </w:style>
  <w:style w:type="paragraph" w:styleId="48">
    <w:name w:val="Body Text 2"/>
    <w:basedOn w:val="1"/>
    <w:qFormat/>
    <w:uiPriority w:val="0"/>
    <w:pPr>
      <w:adjustRightInd w:val="0"/>
      <w:snapToGrid w:val="0"/>
      <w:spacing w:after="120" w:afterLines="0" w:afterAutospacing="0" w:line="480" w:lineRule="auto"/>
    </w:pPr>
    <w:rPr>
      <w:sz w:val="24"/>
    </w:rPr>
  </w:style>
  <w:style w:type="paragraph" w:styleId="49">
    <w:name w:val="List 4"/>
    <w:basedOn w:val="1"/>
    <w:qFormat/>
    <w:uiPriority w:val="0"/>
    <w:pPr>
      <w:adjustRightInd w:val="0"/>
      <w:snapToGrid w:val="0"/>
      <w:spacing w:line="360" w:lineRule="auto"/>
      <w:ind w:left="100" w:leftChars="600" w:hanging="200" w:hangingChars="200"/>
    </w:pPr>
    <w:rPr>
      <w:sz w:val="24"/>
    </w:rPr>
  </w:style>
  <w:style w:type="paragraph" w:styleId="50">
    <w:name w:val="List Continue 2"/>
    <w:basedOn w:val="1"/>
    <w:qFormat/>
    <w:uiPriority w:val="0"/>
    <w:pPr>
      <w:adjustRightInd w:val="0"/>
      <w:snapToGrid w:val="0"/>
      <w:spacing w:after="120" w:afterLines="0" w:afterAutospacing="0" w:line="360" w:lineRule="auto"/>
      <w:ind w:left="840" w:leftChars="400"/>
    </w:pPr>
    <w:rPr>
      <w:sz w:val="24"/>
    </w:rPr>
  </w:style>
  <w:style w:type="paragraph" w:styleId="51">
    <w:name w:val="HTML Preformatted"/>
    <w:basedOn w:val="1"/>
    <w:qFormat/>
    <w:uiPriority w:val="0"/>
    <w:rPr>
      <w:rFonts w:ascii="Courier New" w:hAnsi="Courier New"/>
      <w:sz w:val="20"/>
    </w:rPr>
  </w:style>
  <w:style w:type="paragraph" w:styleId="52">
    <w:name w:val="Normal (Web)"/>
    <w:basedOn w:val="1"/>
    <w:qFormat/>
    <w:uiPriority w:val="0"/>
    <w:pPr>
      <w:widowControl/>
      <w:spacing w:before="100" w:beforeLines="0" w:beforeAutospacing="1" w:after="100" w:afterLines="0" w:afterAutospacing="1"/>
      <w:jc w:val="left"/>
    </w:pPr>
    <w:rPr>
      <w:rFonts w:ascii="Arial Unicode MS" w:hAnsi="Arial Unicode MS" w:eastAsia="Arial Unicode MS"/>
      <w:kern w:val="0"/>
      <w:sz w:val="24"/>
    </w:rPr>
  </w:style>
  <w:style w:type="paragraph" w:styleId="53">
    <w:name w:val="List Continue 3"/>
    <w:basedOn w:val="1"/>
    <w:qFormat/>
    <w:uiPriority w:val="0"/>
    <w:pPr>
      <w:adjustRightInd w:val="0"/>
      <w:snapToGrid w:val="0"/>
      <w:spacing w:after="120" w:afterLines="0" w:afterAutospacing="0" w:line="360" w:lineRule="auto"/>
      <w:ind w:left="1260" w:leftChars="600"/>
    </w:pPr>
    <w:rPr>
      <w:sz w:val="24"/>
    </w:rPr>
  </w:style>
  <w:style w:type="paragraph" w:styleId="54">
    <w:name w:val="index 1"/>
    <w:basedOn w:val="1"/>
    <w:next w:val="1"/>
    <w:qFormat/>
    <w:uiPriority w:val="0"/>
    <w:pPr>
      <w:adjustRightInd w:val="0"/>
      <w:spacing w:line="240" w:lineRule="atLeast"/>
      <w:textAlignment w:val="baseline"/>
    </w:pPr>
    <w:rPr>
      <w:rFonts w:ascii="宋体"/>
      <w:kern w:val="0"/>
      <w:sz w:val="21"/>
    </w:rPr>
  </w:style>
  <w:style w:type="paragraph" w:styleId="55">
    <w:name w:val="Title"/>
    <w:basedOn w:val="1"/>
    <w:qFormat/>
    <w:uiPriority w:val="0"/>
    <w:pPr>
      <w:widowControl/>
      <w:spacing w:after="240" w:afterLines="0" w:afterAutospacing="0" w:line="360" w:lineRule="auto"/>
      <w:jc w:val="center"/>
    </w:pPr>
    <w:rPr>
      <w:rFonts w:ascii="Arial" w:hAnsi="Arial" w:eastAsia="宋体"/>
      <w:b/>
      <w:smallCaps/>
      <w:kern w:val="28"/>
      <w:sz w:val="36"/>
      <w:lang w:val="en-US" w:eastAsia="en-US"/>
    </w:rPr>
  </w:style>
  <w:style w:type="paragraph" w:styleId="56">
    <w:name w:val="annotation subject"/>
    <w:basedOn w:val="19"/>
    <w:next w:val="19"/>
    <w:qFormat/>
    <w:uiPriority w:val="0"/>
    <w:pPr>
      <w:widowControl w:val="0"/>
      <w:tabs>
        <w:tab w:val="clear" w:pos="1134"/>
      </w:tabs>
      <w:adjustRightInd/>
      <w:snapToGrid/>
      <w:spacing w:line="240" w:lineRule="auto"/>
    </w:pPr>
    <w:rPr>
      <w:rFonts w:eastAsia="宋体"/>
      <w:b/>
      <w:kern w:val="2"/>
      <w:sz w:val="21"/>
      <w:lang w:val="en-US" w:eastAsia="zh-CN"/>
    </w:rPr>
  </w:style>
  <w:style w:type="paragraph" w:styleId="57">
    <w:name w:val="Body Text First Indent"/>
    <w:basedOn w:val="22"/>
    <w:next w:val="1"/>
    <w:qFormat/>
    <w:uiPriority w:val="0"/>
    <w:pPr>
      <w:spacing w:line="360" w:lineRule="auto"/>
      <w:ind w:firstLine="420"/>
    </w:pPr>
    <w:rPr>
      <w:rFonts w:ascii="宋体" w:hAnsi="宋体"/>
      <w:sz w:val="24"/>
    </w:rPr>
  </w:style>
  <w:style w:type="paragraph" w:styleId="58">
    <w:name w:val="Body Text First Indent 2"/>
    <w:basedOn w:val="24"/>
    <w:qFormat/>
    <w:uiPriority w:val="0"/>
    <w:pPr>
      <w:spacing w:after="120" w:afterLines="0" w:afterAutospacing="0" w:line="240" w:lineRule="auto"/>
      <w:ind w:left="420" w:leftChars="200" w:firstLine="420" w:firstLineChars="200"/>
    </w:pPr>
    <w:rPr>
      <w:sz w:val="21"/>
    </w:rPr>
  </w:style>
  <w:style w:type="table" w:styleId="60">
    <w:name w:val="Table Grid"/>
    <w:basedOn w:val="59"/>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62">
    <w:name w:val="Strong"/>
    <w:qFormat/>
    <w:uiPriority w:val="22"/>
    <w:rPr>
      <w:b/>
    </w:rPr>
  </w:style>
  <w:style w:type="character" w:styleId="63">
    <w:name w:val="page number"/>
    <w:qFormat/>
    <w:uiPriority w:val="0"/>
  </w:style>
  <w:style w:type="character" w:styleId="64">
    <w:name w:val="FollowedHyperlink"/>
    <w:qFormat/>
    <w:uiPriority w:val="0"/>
    <w:rPr>
      <w:color w:val="333333"/>
      <w:u w:val="none"/>
    </w:rPr>
  </w:style>
  <w:style w:type="character" w:styleId="65">
    <w:name w:val="Emphasis"/>
    <w:qFormat/>
    <w:uiPriority w:val="0"/>
    <w:rPr>
      <w:i/>
    </w:rPr>
  </w:style>
  <w:style w:type="character" w:styleId="66">
    <w:name w:val="Hyperlink"/>
    <w:qFormat/>
    <w:uiPriority w:val="99"/>
    <w:rPr>
      <w:color w:val="333333"/>
      <w:u w:val="none"/>
    </w:rPr>
  </w:style>
  <w:style w:type="character" w:styleId="67">
    <w:name w:val="annotation reference"/>
    <w:qFormat/>
    <w:uiPriority w:val="0"/>
    <w:rPr>
      <w:sz w:val="21"/>
    </w:rPr>
  </w:style>
  <w:style w:type="character" w:styleId="68">
    <w:name w:val="footnote reference"/>
    <w:qFormat/>
    <w:uiPriority w:val="0"/>
    <w:rPr>
      <w:position w:val="6"/>
      <w:sz w:val="14"/>
      <w:vertAlign w:val="superscript"/>
    </w:rPr>
  </w:style>
  <w:style w:type="character" w:customStyle="1" w:styleId="69">
    <w:name w:val="标题 2 Char"/>
    <w:link w:val="3"/>
    <w:qFormat/>
    <w:uiPriority w:val="0"/>
    <w:rPr>
      <w:rFonts w:ascii="宋体" w:hAnsi="宋体" w:eastAsia="宋体"/>
      <w:kern w:val="2"/>
      <w:sz w:val="28"/>
    </w:rPr>
  </w:style>
  <w:style w:type="character" w:customStyle="1" w:styleId="70">
    <w:name w:val="批注文字 Char"/>
    <w:link w:val="19"/>
    <w:qFormat/>
    <w:uiPriority w:val="0"/>
    <w:rPr>
      <w:rFonts w:eastAsia="PMingLiU"/>
      <w:sz w:val="24"/>
      <w:lang w:eastAsia="zh-TW"/>
    </w:rPr>
  </w:style>
  <w:style w:type="character" w:customStyle="1" w:styleId="71">
    <w:name w:val="日期 Char"/>
    <w:link w:val="33"/>
    <w:qFormat/>
    <w:uiPriority w:val="0"/>
    <w:rPr>
      <w:kern w:val="2"/>
      <w:sz w:val="28"/>
    </w:rPr>
  </w:style>
  <w:style w:type="character" w:customStyle="1" w:styleId="72">
    <w:name w:val="正文 + 三号 Char"/>
    <w:qFormat/>
    <w:uiPriority w:val="0"/>
    <w:rPr>
      <w:rFonts w:eastAsia="宋体"/>
      <w:kern w:val="2"/>
      <w:sz w:val="21"/>
      <w:lang w:val="en-US" w:eastAsia="zh-CN"/>
    </w:rPr>
  </w:style>
  <w:style w:type="character" w:customStyle="1" w:styleId="73">
    <w:name w:val="content-white1"/>
    <w:qFormat/>
    <w:uiPriority w:val="0"/>
    <w:rPr>
      <w:rFonts w:ascii="_x000B__x000C_" w:hAnsi="_x000B__x000C_"/>
      <w:color w:val="auto"/>
      <w:sz w:val="18"/>
      <w:u w:val="none"/>
    </w:rPr>
  </w:style>
  <w:style w:type="character" w:customStyle="1" w:styleId="74">
    <w:name w:val=" Char Char"/>
    <w:qFormat/>
    <w:uiPriority w:val="0"/>
    <w:rPr>
      <w:rFonts w:ascii="宋体" w:hAnsi="宋体" w:eastAsia="宋体"/>
      <w:kern w:val="2"/>
      <w:sz w:val="24"/>
      <w:lang w:val="en-US" w:eastAsia="zh-CN" w:bidi="ar-SA"/>
    </w:rPr>
  </w:style>
  <w:style w:type="character" w:customStyle="1" w:styleId="75">
    <w:name w:val=" Char Char5"/>
    <w:qFormat/>
    <w:uiPriority w:val="0"/>
    <w:rPr>
      <w:rFonts w:ascii="Arial" w:hAnsi="Arial" w:eastAsia="宋体"/>
      <w:b/>
      <w:smallCaps/>
      <w:kern w:val="28"/>
      <w:sz w:val="36"/>
      <w:lang w:val="en-US" w:eastAsia="en-US"/>
    </w:rPr>
  </w:style>
  <w:style w:type="character" w:customStyle="1" w:styleId="76">
    <w:name w:val=" Char Char4"/>
    <w:qFormat/>
    <w:uiPriority w:val="0"/>
    <w:rPr>
      <w:rFonts w:eastAsia="宋体"/>
      <w:b/>
      <w:kern w:val="2"/>
      <w:sz w:val="21"/>
      <w:lang w:val="en-US" w:eastAsia="zh-CN"/>
    </w:rPr>
  </w:style>
  <w:style w:type="character" w:customStyle="1" w:styleId="77">
    <w:name w:val="样式 宋体"/>
    <w:qFormat/>
    <w:uiPriority w:val="0"/>
    <w:rPr>
      <w:rFonts w:ascii="宋体" w:hAnsi="宋体" w:eastAsia="宋体"/>
      <w:sz w:val="28"/>
    </w:rPr>
  </w:style>
  <w:style w:type="character" w:customStyle="1" w:styleId="78">
    <w:name w:val=" Char Char7"/>
    <w:qFormat/>
    <w:uiPriority w:val="0"/>
    <w:rPr>
      <w:rFonts w:ascii="宋体" w:hAnsi="宋体" w:eastAsia="宋体"/>
      <w:kern w:val="2"/>
      <w:sz w:val="28"/>
    </w:rPr>
  </w:style>
  <w:style w:type="character" w:customStyle="1" w:styleId="79">
    <w:name w:val=" Char Char6"/>
    <w:qFormat/>
    <w:uiPriority w:val="0"/>
    <w:rPr>
      <w:rFonts w:ascii="仿宋_GB2312" w:eastAsia="仿宋_GB2312"/>
      <w:kern w:val="2"/>
      <w:sz w:val="32"/>
    </w:rPr>
  </w:style>
  <w:style w:type="character" w:customStyle="1" w:styleId="80">
    <w:name w:val=" Char Char2"/>
    <w:qFormat/>
    <w:uiPriority w:val="0"/>
    <w:rPr>
      <w:rFonts w:eastAsia="宋体"/>
      <w:kern w:val="2"/>
      <w:sz w:val="18"/>
      <w:lang w:val="en-US" w:eastAsia="zh-CN"/>
    </w:rPr>
  </w:style>
  <w:style w:type="character" w:customStyle="1" w:styleId="81">
    <w:name w:val="font1"/>
    <w:qFormat/>
    <w:uiPriority w:val="0"/>
    <w:rPr>
      <w:color w:val="000000"/>
      <w:sz w:val="18"/>
    </w:rPr>
  </w:style>
  <w:style w:type="character" w:customStyle="1" w:styleId="82">
    <w:name w:val="小 Char"/>
    <w:qFormat/>
    <w:uiPriority w:val="0"/>
    <w:rPr>
      <w:rFonts w:ascii="宋体" w:hAnsi="Courier New" w:eastAsia="宋体"/>
      <w:kern w:val="2"/>
      <w:sz w:val="21"/>
      <w:lang w:val="en-US" w:eastAsia="zh-CN" w:bidi="ar-SA"/>
    </w:rPr>
  </w:style>
  <w:style w:type="character" w:customStyle="1" w:styleId="83">
    <w:name w:val="v151"/>
    <w:qFormat/>
    <w:uiPriority w:val="0"/>
    <w:rPr>
      <w:sz w:val="18"/>
    </w:rPr>
  </w:style>
  <w:style w:type="character" w:customStyle="1" w:styleId="84">
    <w:name w:val="Table Text Char Char Char Char"/>
    <w:qFormat/>
    <w:uiPriority w:val="0"/>
    <w:rPr>
      <w:rFonts w:ascii="Arial" w:hAnsi="Arial"/>
      <w:kern w:val="2"/>
      <w:sz w:val="18"/>
      <w:lang w:val="en-US" w:eastAsia="zh-CN" w:bidi="ar-SA"/>
    </w:rPr>
  </w:style>
  <w:style w:type="character" w:customStyle="1" w:styleId="85">
    <w:name w:val="Table Text Char1 Char"/>
    <w:qFormat/>
    <w:uiPriority w:val="0"/>
    <w:rPr>
      <w:rFonts w:ascii="Arial" w:hAnsi="Arial"/>
      <w:kern w:val="2"/>
      <w:sz w:val="18"/>
      <w:lang w:val="en-US" w:eastAsia="zh-CN" w:bidi="ar-SA"/>
    </w:rPr>
  </w:style>
  <w:style w:type="character" w:customStyle="1" w:styleId="86">
    <w:name w:val="Table Text Char"/>
    <w:qFormat/>
    <w:uiPriority w:val="0"/>
    <w:rPr>
      <w:rFonts w:ascii="Arial" w:hAnsi="Arial"/>
      <w:kern w:val="2"/>
      <w:sz w:val="18"/>
      <w:lang w:val="en-US" w:eastAsia="zh-CN" w:bidi="ar-SA"/>
    </w:rPr>
  </w:style>
  <w:style w:type="character" w:customStyle="1" w:styleId="87">
    <w:name w:val="文字 Char"/>
    <w:link w:val="88"/>
    <w:qFormat/>
    <w:uiPriority w:val="0"/>
    <w:rPr>
      <w:rFonts w:ascii="宋体" w:eastAsia="宋体"/>
      <w:kern w:val="2"/>
      <w:sz w:val="28"/>
      <w:lang w:val="en-US" w:eastAsia="zh-CN" w:bidi="ar-SA"/>
    </w:rPr>
  </w:style>
  <w:style w:type="paragraph" w:customStyle="1" w:styleId="88">
    <w:name w:val="文字"/>
    <w:basedOn w:val="1"/>
    <w:link w:val="87"/>
    <w:qFormat/>
    <w:uiPriority w:val="0"/>
    <w:pPr>
      <w:tabs>
        <w:tab w:val="left" w:pos="8520"/>
      </w:tabs>
      <w:spacing w:line="312" w:lineRule="auto"/>
      <w:ind w:right="-210" w:firstLine="556"/>
    </w:pPr>
    <w:rPr>
      <w:rFonts w:ascii="宋体"/>
    </w:rPr>
  </w:style>
  <w:style w:type="character" w:customStyle="1" w:styleId="89">
    <w:name w:val="标书正文:  0.74 厘米 Char1"/>
    <w:qFormat/>
    <w:uiPriority w:val="0"/>
    <w:rPr>
      <w:rFonts w:eastAsia="宋体"/>
      <w:kern w:val="2"/>
      <w:sz w:val="24"/>
      <w:lang w:val="en-US" w:eastAsia="zh-CN"/>
    </w:rPr>
  </w:style>
  <w:style w:type="character" w:customStyle="1" w:styleId="90">
    <w:name w:val="crowed11"/>
    <w:qFormat/>
    <w:uiPriority w:val="0"/>
    <w:rPr>
      <w:rFonts w:hint="default" w:ascii="_x000B__x000C_" w:hAnsi="_x000B__x000C_"/>
      <w:sz w:val="24"/>
    </w:rPr>
  </w:style>
  <w:style w:type="character" w:customStyle="1" w:styleId="91">
    <w:name w:val="Table Heading Char Char"/>
    <w:qFormat/>
    <w:uiPriority w:val="0"/>
    <w:rPr>
      <w:rFonts w:ascii="Arial" w:hAnsi="Arial" w:eastAsia="黑体"/>
      <w:kern w:val="2"/>
      <w:sz w:val="18"/>
      <w:lang w:val="en-US" w:eastAsia="zh-CN"/>
    </w:rPr>
  </w:style>
  <w:style w:type="character" w:customStyle="1" w:styleId="92">
    <w:name w:val="未命名11"/>
    <w:qFormat/>
    <w:uiPriority w:val="0"/>
    <w:rPr>
      <w:color w:val="77FFFF"/>
      <w:sz w:val="24"/>
    </w:rPr>
  </w:style>
  <w:style w:type="character" w:customStyle="1" w:styleId="93">
    <w:name w:val=" Char Char3"/>
    <w:qFormat/>
    <w:uiPriority w:val="0"/>
    <w:rPr>
      <w:rFonts w:eastAsia="宋体"/>
      <w:kern w:val="2"/>
      <w:sz w:val="18"/>
      <w:lang w:val="en-US" w:eastAsia="zh-CN"/>
    </w:rPr>
  </w:style>
  <w:style w:type="character" w:customStyle="1" w:styleId="94">
    <w:name w:val="top-det1"/>
    <w:qFormat/>
    <w:uiPriority w:val="0"/>
    <w:rPr>
      <w:b/>
      <w:color w:val="000000"/>
    </w:rPr>
  </w:style>
  <w:style w:type="paragraph" w:customStyle="1" w:styleId="95">
    <w:name w:val="小标题 1"/>
    <w:basedOn w:val="1"/>
    <w:qFormat/>
    <w:uiPriority w:val="0"/>
    <w:pPr>
      <w:autoSpaceDE w:val="0"/>
      <w:autoSpaceDN w:val="0"/>
      <w:adjustRightInd w:val="0"/>
      <w:spacing w:line="360" w:lineRule="atLeast"/>
    </w:pPr>
    <w:rPr>
      <w:rFonts w:ascii="文鼎粗黑" w:eastAsia="文鼎粗黑"/>
      <w:kern w:val="0"/>
      <w:sz w:val="22"/>
    </w:rPr>
  </w:style>
  <w:style w:type="paragraph" w:customStyle="1" w:styleId="96">
    <w:name w:val="样式 标题 1章标题Heading 0Section HeadPIM 1H1h11st levell11H1..."/>
    <w:basedOn w:val="2"/>
    <w:qFormat/>
    <w:uiPriority w:val="0"/>
    <w:pPr>
      <w:keepLines/>
      <w:pageBreakBefore/>
      <w:tabs>
        <w:tab w:val="left" w:pos="432"/>
        <w:tab w:val="clear" w:pos="3360"/>
      </w:tabs>
      <w:autoSpaceDE w:val="0"/>
      <w:autoSpaceDN w:val="0"/>
      <w:adjustRightInd w:val="0"/>
      <w:spacing w:before="340" w:beforeLines="0" w:beforeAutospacing="0" w:after="330" w:afterLines="0" w:afterAutospacing="0" w:line="578" w:lineRule="atLeast"/>
      <w:jc w:val="both"/>
      <w:textAlignment w:val="bottom"/>
    </w:pPr>
    <w:rPr>
      <w:rFonts w:ascii="宋体" w:hAnsi="宋体"/>
      <w:b/>
      <w:kern w:val="44"/>
      <w:sz w:val="36"/>
    </w:rPr>
  </w:style>
  <w:style w:type="paragraph" w:customStyle="1" w:styleId="97">
    <w:name w:val="xl23"/>
    <w:basedOn w:val="1"/>
    <w:qFormat/>
    <w:uiPriority w:val="0"/>
    <w:pPr>
      <w:widowControl/>
      <w:spacing w:before="100" w:beforeLines="0" w:beforeAutospacing="1" w:after="100" w:afterLines="0" w:afterAutospacing="1" w:line="360" w:lineRule="auto"/>
      <w:textAlignment w:val="top"/>
    </w:pPr>
    <w:rPr>
      <w:kern w:val="0"/>
      <w:sz w:val="24"/>
    </w:rPr>
  </w:style>
  <w:style w:type="paragraph" w:customStyle="1" w:styleId="98">
    <w:name w:val="Item Step"/>
    <w:qFormat/>
    <w:uiPriority w:val="0"/>
    <w:pPr>
      <w:tabs>
        <w:tab w:val="left" w:pos="1644"/>
      </w:tabs>
      <w:ind w:left="1644" w:hanging="510"/>
      <w:outlineLvl w:val="4"/>
    </w:pPr>
    <w:rPr>
      <w:rFonts w:ascii="Arial" w:hAnsi="Arial" w:eastAsia="宋体" w:cs="Times New Roman"/>
      <w:sz w:val="21"/>
      <w:lang w:val="en-US" w:eastAsia="zh-CN" w:bidi="ar-SA"/>
    </w:rPr>
  </w:style>
  <w:style w:type="paragraph" w:customStyle="1" w:styleId="99">
    <w:name w:val="操作步骤"/>
    <w:basedOn w:val="1"/>
    <w:qFormat/>
    <w:uiPriority w:val="0"/>
    <w:pPr>
      <w:tabs>
        <w:tab w:val="left" w:pos="425"/>
      </w:tabs>
      <w:autoSpaceDE w:val="0"/>
      <w:autoSpaceDN w:val="0"/>
      <w:adjustRightInd w:val="0"/>
      <w:snapToGrid w:val="0"/>
      <w:spacing w:line="40" w:lineRule="atLeast"/>
      <w:ind w:left="425" w:hanging="425"/>
      <w:textAlignment w:val="bottom"/>
    </w:pPr>
    <w:rPr>
      <w:rFonts w:ascii="昆仑楷体" w:eastAsia="楷体_GB2312"/>
      <w:kern w:val="0"/>
      <w:sz w:val="21"/>
    </w:rPr>
  </w:style>
  <w:style w:type="paragraph" w:customStyle="1" w:styleId="100">
    <w:name w:val="标题3——2"/>
    <w:basedOn w:val="4"/>
    <w:next w:val="57"/>
    <w:qFormat/>
    <w:uiPriority w:val="0"/>
    <w:pPr>
      <w:tabs>
        <w:tab w:val="left" w:pos="1280"/>
        <w:tab w:val="right" w:leader="dot" w:pos="8777"/>
      </w:tabs>
      <w:spacing w:before="312" w:beforeLines="100" w:beforeAutospacing="0" w:after="0" w:afterLines="0" w:afterAutospacing="0" w:line="240" w:lineRule="auto"/>
      <w:ind w:left="851" w:hanging="851"/>
      <w:jc w:val="both"/>
      <w:outlineLvl w:val="9"/>
    </w:pPr>
    <w:rPr>
      <w:rFonts w:ascii="黑体" w:hAnsi="宋体" w:eastAsia="黑体"/>
      <w:sz w:val="30"/>
    </w:rPr>
  </w:style>
  <w:style w:type="paragraph" w:customStyle="1" w:styleId="101">
    <w:name w:val=" Char Char1"/>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02">
    <w:name w:val="正文（首行不缩进）"/>
    <w:basedOn w:val="1"/>
    <w:qFormat/>
    <w:uiPriority w:val="0"/>
    <w:pPr>
      <w:autoSpaceDE w:val="0"/>
      <w:autoSpaceDN w:val="0"/>
      <w:adjustRightInd w:val="0"/>
      <w:spacing w:line="360" w:lineRule="auto"/>
      <w:jc w:val="left"/>
    </w:pPr>
    <w:rPr>
      <w:kern w:val="0"/>
      <w:sz w:val="21"/>
    </w:rPr>
  </w:style>
  <w:style w:type="paragraph" w:customStyle="1" w:styleId="103">
    <w:name w:val="1.正文"/>
    <w:basedOn w:val="1"/>
    <w:qFormat/>
    <w:uiPriority w:val="0"/>
    <w:pPr>
      <w:spacing w:line="360" w:lineRule="auto"/>
      <w:ind w:left="540" w:leftChars="225" w:firstLine="540" w:firstLineChars="225"/>
    </w:pPr>
    <w:rPr>
      <w:sz w:val="24"/>
    </w:rPr>
  </w:style>
  <w:style w:type="paragraph" w:customStyle="1" w:styleId="104">
    <w:name w:val="Item List"/>
    <w:qFormat/>
    <w:uiPriority w:val="0"/>
    <w:pPr>
      <w:tabs>
        <w:tab w:val="left" w:pos="1644"/>
      </w:tabs>
      <w:spacing w:line="300" w:lineRule="auto"/>
      <w:ind w:left="1644" w:hanging="510"/>
      <w:jc w:val="both"/>
    </w:pPr>
    <w:rPr>
      <w:rFonts w:ascii="Arial" w:hAnsi="Arial" w:eastAsia="宋体" w:cs="Times New Roman"/>
      <w:sz w:val="21"/>
      <w:lang w:val="en-US" w:eastAsia="zh-CN" w:bidi="ar-SA"/>
    </w:rPr>
  </w:style>
  <w:style w:type="paragraph" w:customStyle="1" w:styleId="105">
    <w:name w:val="附录2"/>
    <w:basedOn w:val="1"/>
    <w:next w:val="1"/>
    <w:qFormat/>
    <w:uiPriority w:val="0"/>
    <w:pPr>
      <w:tabs>
        <w:tab w:val="left" w:pos="420"/>
        <w:tab w:val="left" w:pos="624"/>
      </w:tabs>
      <w:ind w:left="420" w:hanging="420"/>
      <w:outlineLvl w:val="1"/>
    </w:pPr>
    <w:rPr>
      <w:rFonts w:ascii="黑体" w:hAnsi="黑体" w:eastAsia="黑体"/>
      <w:b/>
      <w:sz w:val="32"/>
    </w:rPr>
  </w:style>
  <w:style w:type="paragraph" w:customStyle="1" w:styleId="106">
    <w:name w:val="Title - Revision"/>
    <w:basedOn w:val="55"/>
    <w:qFormat/>
    <w:uiPriority w:val="0"/>
    <w:pPr>
      <w:spacing w:before="720" w:beforeLines="0" w:beforeAutospacing="0"/>
    </w:pPr>
  </w:style>
  <w:style w:type="paragraph" w:customStyle="1" w:styleId="107">
    <w:name w:val="样式 宋体 五号 两端对齐 行距: 单倍行距"/>
    <w:basedOn w:val="1"/>
    <w:qFormat/>
    <w:uiPriority w:val="0"/>
    <w:pPr>
      <w:adjustRightInd w:val="0"/>
      <w:textAlignment w:val="baseline"/>
    </w:pPr>
    <w:rPr>
      <w:rFonts w:ascii="宋体" w:hAnsi="宋体"/>
      <w:kern w:val="0"/>
      <w:sz w:val="21"/>
    </w:rPr>
  </w:style>
  <w:style w:type="paragraph" w:customStyle="1" w:styleId="108">
    <w:name w:val="图片文字"/>
    <w:basedOn w:val="1"/>
    <w:qFormat/>
    <w:uiPriority w:val="0"/>
    <w:pPr>
      <w:spacing w:line="240" w:lineRule="atLeast"/>
      <w:jc w:val="center"/>
    </w:pPr>
    <w:rPr>
      <w:sz w:val="21"/>
    </w:rPr>
  </w:style>
  <w:style w:type="paragraph" w:customStyle="1" w:styleId="109">
    <w:name w:val="Table Contents"/>
    <w:basedOn w:val="22"/>
    <w:qFormat/>
    <w:uiPriority w:val="0"/>
    <w:pPr>
      <w:suppressAutoHyphens/>
      <w:jc w:val="left"/>
    </w:pPr>
    <w:rPr>
      <w:rFonts w:ascii="Times New Roman" w:eastAsia="Times New Roman"/>
      <w:kern w:val="0"/>
      <w:sz w:val="24"/>
    </w:rPr>
  </w:style>
  <w:style w:type="paragraph" w:customStyle="1" w:styleId="110">
    <w:name w:val="表格文本"/>
    <w:qFormat/>
    <w:uiPriority w:val="0"/>
    <w:pPr>
      <w:tabs>
        <w:tab w:val="decimal" w:pos="0"/>
      </w:tabs>
    </w:pPr>
    <w:rPr>
      <w:rFonts w:ascii="Arial" w:hAnsi="Arial" w:eastAsia="宋体" w:cs="Times New Roman"/>
      <w:sz w:val="21"/>
      <w:lang w:val="en-US" w:eastAsia="zh-CN" w:bidi="ar-SA"/>
    </w:rPr>
  </w:style>
  <w:style w:type="paragraph" w:customStyle="1" w:styleId="111">
    <w:name w:val="style1"/>
    <w:basedOn w:val="1"/>
    <w:qFormat/>
    <w:uiPriority w:val="0"/>
    <w:pPr>
      <w:widowControl/>
      <w:spacing w:before="100" w:beforeLines="0" w:beforeAutospacing="1" w:after="100" w:afterLines="0" w:afterAutospacing="1"/>
      <w:jc w:val="left"/>
    </w:pPr>
    <w:rPr>
      <w:rFonts w:ascii="宋体" w:hAnsi="宋体"/>
      <w:kern w:val="0"/>
      <w:sz w:val="21"/>
    </w:rPr>
  </w:style>
  <w:style w:type="paragraph" w:customStyle="1" w:styleId="112">
    <w:name w:val=" Char Char1 Char Char Char Char Char Char Char Char Char Char Char Char Char Char"/>
    <w:basedOn w:val="1"/>
    <w:qFormat/>
    <w:uiPriority w:val="0"/>
    <w:pPr>
      <w:widowControl/>
      <w:spacing w:after="160" w:afterLines="0" w:afterAutospacing="0" w:line="240" w:lineRule="exact"/>
      <w:jc w:val="left"/>
    </w:pPr>
    <w:rPr>
      <w:rFonts w:ascii="Verdana" w:hAnsi="Verdana"/>
      <w:kern w:val="0"/>
      <w:sz w:val="20"/>
      <w:lang w:eastAsia="en-US"/>
    </w:rPr>
  </w:style>
  <w:style w:type="paragraph" w:customStyle="1" w:styleId="113">
    <w:name w:val="xl27"/>
    <w:basedOn w:val="1"/>
    <w:qFormat/>
    <w:uiPriority w:val="0"/>
    <w:pPr>
      <w:widowControl/>
      <w:pBdr>
        <w:left w:val="single" w:color="auto" w:sz="8" w:space="0"/>
        <w:bottom w:val="single" w:color="auto" w:sz="4" w:space="0"/>
        <w:right w:val="single" w:color="auto" w:sz="4" w:space="0"/>
      </w:pBdr>
      <w:spacing w:before="100" w:beforeLines="0" w:beforeAutospacing="1" w:after="100" w:afterLines="0" w:afterAutospacing="1"/>
      <w:jc w:val="center"/>
      <w:textAlignment w:val="center"/>
    </w:pPr>
    <w:rPr>
      <w:rFonts w:ascii="宋体" w:hAnsi="宋体"/>
      <w:kern w:val="0"/>
      <w:sz w:val="21"/>
    </w:rPr>
  </w:style>
  <w:style w:type="paragraph" w:customStyle="1" w:styleId="114">
    <w:name w:val="Style Heading 3h3Heading 3 - oldLevel 3 HeadH3level_3PIM 3se..."/>
    <w:basedOn w:val="4"/>
    <w:qFormat/>
    <w:uiPriority w:val="0"/>
    <w:pPr>
      <w:tabs>
        <w:tab w:val="left" w:pos="709"/>
      </w:tabs>
      <w:ind w:left="709" w:hanging="709"/>
      <w:jc w:val="both"/>
    </w:pPr>
    <w:rPr>
      <w:sz w:val="32"/>
    </w:rPr>
  </w:style>
  <w:style w:type="paragraph" w:customStyle="1" w:styleId="115">
    <w:name w:val="样式3"/>
    <w:basedOn w:val="2"/>
    <w:next w:val="2"/>
    <w:qFormat/>
    <w:uiPriority w:val="0"/>
    <w:pPr>
      <w:keepLines/>
      <w:tabs>
        <w:tab w:val="clear" w:pos="3360"/>
      </w:tabs>
      <w:adjustRightInd w:val="0"/>
      <w:spacing w:before="340" w:beforeLines="0" w:beforeAutospacing="0" w:after="330" w:afterLines="0" w:afterAutospacing="0" w:line="576" w:lineRule="auto"/>
      <w:jc w:val="both"/>
    </w:pPr>
    <w:rPr>
      <w:b/>
      <w:kern w:val="44"/>
    </w:rPr>
  </w:style>
  <w:style w:type="paragraph" w:customStyle="1" w:styleId="116">
    <w:name w:val="Table Text Char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17">
    <w:name w:val="标题2"/>
    <w:basedOn w:val="3"/>
    <w:qFormat/>
    <w:uiPriority w:val="0"/>
    <w:pPr>
      <w:keepNext w:val="0"/>
      <w:keepLines w:val="0"/>
      <w:snapToGrid w:val="0"/>
      <w:spacing w:before="0" w:beforeLines="0" w:beforeAutospacing="0" w:after="0" w:afterLines="0" w:afterAutospacing="0"/>
      <w:ind w:firstLine="574" w:firstLineChars="196"/>
      <w:outlineLvl w:val="9"/>
    </w:pPr>
    <w:rPr>
      <w:b/>
      <w:spacing w:val="6"/>
      <w:u w:val="single"/>
    </w:rPr>
  </w:style>
  <w:style w:type="paragraph" w:customStyle="1" w:styleId="118">
    <w:name w:val="首行缩进"/>
    <w:basedOn w:val="1"/>
    <w:qFormat/>
    <w:uiPriority w:val="0"/>
    <w:pPr>
      <w:spacing w:line="360" w:lineRule="auto"/>
      <w:ind w:firstLine="420" w:firstLineChars="200"/>
    </w:pPr>
    <w:rPr>
      <w:sz w:val="21"/>
    </w:rPr>
  </w:style>
  <w:style w:type="paragraph" w:customStyle="1" w:styleId="119">
    <w:name w:val="标准正文"/>
    <w:basedOn w:val="24"/>
    <w:qFormat/>
    <w:uiPriority w:val="0"/>
    <w:pPr>
      <w:spacing w:before="60" w:beforeLines="0" w:beforeAutospacing="0" w:after="60" w:afterLines="0" w:afterAutospacing="0" w:line="360" w:lineRule="auto"/>
      <w:ind w:left="0" w:firstLine="482"/>
    </w:pPr>
    <w:rPr>
      <w:rFonts w:ascii="Arial" w:hAnsi="Arial"/>
      <w:sz w:val="24"/>
    </w:rPr>
  </w:style>
  <w:style w:type="paragraph" w:customStyle="1" w:styleId="120">
    <w:name w:val="表格内文字"/>
    <w:basedOn w:val="31"/>
    <w:qFormat/>
    <w:uiPriority w:val="0"/>
    <w:pPr>
      <w:snapToGrid/>
      <w:spacing w:line="240" w:lineRule="auto"/>
    </w:pPr>
    <w:rPr>
      <w:color w:val="000000"/>
      <w:lang w:val="en-GB"/>
    </w:rPr>
  </w:style>
  <w:style w:type="paragraph" w:customStyle="1" w:styleId="121">
    <w:name w:val="标书正文:  0.74 厘米"/>
    <w:basedOn w:val="1"/>
    <w:qFormat/>
    <w:uiPriority w:val="0"/>
    <w:pPr>
      <w:snapToGrid w:val="0"/>
      <w:spacing w:line="360" w:lineRule="auto"/>
      <w:ind w:firstLine="420"/>
    </w:pPr>
    <w:rPr>
      <w:rFonts w:eastAsia="宋体"/>
      <w:kern w:val="2"/>
      <w:sz w:val="24"/>
      <w:lang w:val="en-US" w:eastAsia="zh-CN"/>
    </w:rPr>
  </w:style>
  <w:style w:type="paragraph" w:customStyle="1" w:styleId="122">
    <w:name w:val="表号"/>
    <w:basedOn w:val="1"/>
    <w:qFormat/>
    <w:uiPriority w:val="0"/>
    <w:pPr>
      <w:tabs>
        <w:tab w:val="left" w:pos="648"/>
      </w:tabs>
      <w:autoSpaceDE w:val="0"/>
      <w:autoSpaceDN w:val="0"/>
      <w:adjustRightInd w:val="0"/>
      <w:spacing w:before="210" w:after="210"/>
      <w:ind w:left="425" w:hanging="137"/>
      <w:jc w:val="center"/>
    </w:pPr>
    <w:rPr>
      <w:kern w:val="0"/>
      <w:sz w:val="21"/>
      <w:lang w:eastAsia="en-US"/>
    </w:rPr>
  </w:style>
  <w:style w:type="paragraph" w:customStyle="1" w:styleId="123">
    <w:name w:val="样式 标题 6第五层条 + 三号 段前: 0.5 行"/>
    <w:basedOn w:val="7"/>
    <w:qFormat/>
    <w:uiPriority w:val="0"/>
    <w:pPr>
      <w:widowControl/>
      <w:numPr>
        <w:ilvl w:val="5"/>
        <w:numId w:val="0"/>
      </w:numPr>
      <w:adjustRightInd/>
      <w:snapToGrid/>
      <w:spacing w:before="156" w:beforeLines="50" w:beforeAutospacing="0"/>
      <w:ind w:left="1152" w:hanging="1152"/>
      <w:jc w:val="left"/>
    </w:pPr>
    <w:rPr>
      <w:snapToGrid w:val="0"/>
      <w:kern w:val="24"/>
      <w:sz w:val="28"/>
    </w:rPr>
  </w:style>
  <w:style w:type="paragraph" w:customStyle="1" w:styleId="124">
    <w:name w:val="缺省文本"/>
    <w:basedOn w:val="1"/>
    <w:qFormat/>
    <w:uiPriority w:val="0"/>
    <w:pPr>
      <w:tabs>
        <w:tab w:val="left" w:pos="1260"/>
      </w:tabs>
      <w:autoSpaceDE w:val="0"/>
      <w:autoSpaceDN w:val="0"/>
      <w:adjustRightInd w:val="0"/>
      <w:spacing w:line="360" w:lineRule="auto"/>
      <w:jc w:val="left"/>
    </w:pPr>
    <w:rPr>
      <w:kern w:val="0"/>
      <w:sz w:val="24"/>
    </w:rPr>
  </w:style>
  <w:style w:type="paragraph" w:customStyle="1" w:styleId="125">
    <w:name w:val="È±Ê¡ÎÄ±¾"/>
    <w:basedOn w:val="1"/>
    <w:qFormat/>
    <w:uiPriority w:val="0"/>
    <w:pPr>
      <w:widowControl/>
      <w:overflowPunct w:val="0"/>
      <w:autoSpaceDE w:val="0"/>
      <w:autoSpaceDN w:val="0"/>
      <w:adjustRightInd w:val="0"/>
      <w:jc w:val="left"/>
      <w:textAlignment w:val="baseline"/>
    </w:pPr>
    <w:rPr>
      <w:kern w:val="0"/>
      <w:sz w:val="24"/>
    </w:rPr>
  </w:style>
  <w:style w:type="paragraph" w:customStyle="1" w:styleId="126">
    <w:name w:val="关键词"/>
    <w:basedOn w:val="1"/>
    <w:next w:val="1"/>
    <w:qFormat/>
    <w:uiPriority w:val="0"/>
    <w:pPr>
      <w:spacing w:line="360" w:lineRule="auto"/>
    </w:pPr>
    <w:rPr>
      <w:rFonts w:eastAsia="黑体"/>
      <w:sz w:val="20"/>
    </w:rPr>
  </w:style>
  <w:style w:type="paragraph" w:customStyle="1" w:styleId="127">
    <w:name w:val="列表项目"/>
    <w:basedOn w:val="1"/>
    <w:qFormat/>
    <w:uiPriority w:val="0"/>
    <w:pPr>
      <w:tabs>
        <w:tab w:val="left" w:pos="420"/>
      </w:tabs>
      <w:spacing w:line="288" w:lineRule="auto"/>
      <w:ind w:left="840" w:leftChars="200" w:hanging="420" w:hangingChars="200"/>
    </w:pPr>
    <w:rPr>
      <w:sz w:val="21"/>
    </w:rPr>
  </w:style>
  <w:style w:type="paragraph" w:customStyle="1" w:styleId="128">
    <w:name w:val=" Char Char Char Char Char Char Char"/>
    <w:basedOn w:val="1"/>
    <w:qFormat/>
    <w:uiPriority w:val="0"/>
    <w:pPr>
      <w:widowControl/>
      <w:spacing w:after="160" w:afterLines="0" w:line="240" w:lineRule="exact"/>
      <w:jc w:val="left"/>
    </w:pPr>
    <w:rPr>
      <w:rFonts w:ascii="Verdana" w:hAnsi="Verdana" w:eastAsia="仿宋_GB2312"/>
      <w:kern w:val="0"/>
      <w:sz w:val="24"/>
      <w:lang w:eastAsia="en-US"/>
    </w:rPr>
  </w:style>
  <w:style w:type="paragraph" w:customStyle="1" w:styleId="129">
    <w:name w:val="content"/>
    <w:basedOn w:val="1"/>
    <w:qFormat/>
    <w:uiPriority w:val="0"/>
    <w:pPr>
      <w:widowControl/>
      <w:spacing w:before="100" w:beforeLines="0" w:beforeAutospacing="1" w:after="100" w:afterLines="0" w:afterAutospacing="1" w:line="280" w:lineRule="atLeast"/>
      <w:ind w:firstLine="375"/>
      <w:jc w:val="left"/>
    </w:pPr>
    <w:rPr>
      <w:rFonts w:ascii="宋体" w:hAnsi="宋体"/>
      <w:color w:val="000000"/>
      <w:kern w:val="0"/>
      <w:sz w:val="18"/>
    </w:rPr>
  </w:style>
  <w:style w:type="paragraph" w:customStyle="1" w:styleId="130">
    <w:name w:val="00"/>
    <w:basedOn w:val="1"/>
    <w:qFormat/>
    <w:uiPriority w:val="0"/>
    <w:pPr>
      <w:autoSpaceDE w:val="0"/>
      <w:autoSpaceDN w:val="0"/>
      <w:adjustRightInd w:val="0"/>
      <w:jc w:val="left"/>
    </w:pPr>
    <w:rPr>
      <w:rFonts w:ascii="黑体" w:eastAsia="黑体"/>
      <w:b/>
      <w:kern w:val="0"/>
      <w:sz w:val="20"/>
    </w:rPr>
  </w:style>
  <w:style w:type="paragraph" w:customStyle="1" w:styleId="131">
    <w:name w:val="正文字缩2字"/>
    <w:basedOn w:val="1"/>
    <w:qFormat/>
    <w:uiPriority w:val="0"/>
    <w:pPr>
      <w:spacing w:before="60" w:beforeLines="0" w:beforeAutospacing="0" w:after="60" w:afterLines="0" w:afterAutospacing="0" w:line="360" w:lineRule="auto"/>
      <w:ind w:left="200" w:leftChars="200" w:firstLine="200" w:firstLineChars="200"/>
    </w:pPr>
    <w:rPr>
      <w:sz w:val="24"/>
    </w:rPr>
  </w:style>
  <w:style w:type="paragraph" w:customStyle="1" w:styleId="132">
    <w:name w:val="bt"/>
    <w:basedOn w:val="1"/>
    <w:next w:val="22"/>
    <w:qFormat/>
    <w:uiPriority w:val="0"/>
    <w:pPr>
      <w:numPr>
        <w:ilvl w:val="0"/>
        <w:numId w:val="0"/>
      </w:numPr>
      <w:overflowPunct w:val="0"/>
      <w:autoSpaceDE w:val="0"/>
      <w:autoSpaceDN w:val="0"/>
      <w:adjustRightInd w:val="0"/>
      <w:snapToGrid w:val="0"/>
      <w:spacing w:before="100" w:beforeLines="0" w:beforeAutospacing="0" w:after="100" w:afterLines="0" w:afterAutospacing="0" w:line="240" w:lineRule="atLeast"/>
      <w:ind w:left="2880" w:hanging="360"/>
      <w:textAlignment w:val="baseline"/>
    </w:pPr>
    <w:rPr>
      <w:rFonts w:ascii="宋体"/>
      <w:kern w:val="0"/>
      <w:sz w:val="20"/>
    </w:rPr>
  </w:style>
  <w:style w:type="paragraph" w:customStyle="1" w:styleId="133">
    <w:name w:val="正文1"/>
    <w:basedOn w:val="1"/>
    <w:qFormat/>
    <w:uiPriority w:val="0"/>
    <w:pPr>
      <w:spacing w:line="300" w:lineRule="auto"/>
      <w:ind w:firstLine="200" w:firstLineChars="200"/>
    </w:pPr>
    <w:rPr>
      <w:sz w:val="24"/>
    </w:rPr>
  </w:style>
  <w:style w:type="paragraph" w:customStyle="1" w:styleId="134">
    <w:name w:val="标题无"/>
    <w:basedOn w:val="1"/>
    <w:qFormat/>
    <w:uiPriority w:val="0"/>
    <w:pPr>
      <w:spacing w:line="360" w:lineRule="auto"/>
    </w:pPr>
    <w:rPr>
      <w:sz w:val="24"/>
    </w:rPr>
  </w:style>
  <w:style w:type="paragraph" w:customStyle="1" w:styleId="135">
    <w:name w:val="正文4"/>
    <w:basedOn w:val="1"/>
    <w:qFormat/>
    <w:uiPriority w:val="0"/>
    <w:pPr>
      <w:tabs>
        <w:tab w:val="left" w:pos="1275"/>
      </w:tabs>
      <w:spacing w:before="60" w:beforeLines="0" w:beforeAutospacing="0" w:after="60" w:afterLines="0" w:afterAutospacing="0" w:line="360" w:lineRule="auto"/>
      <w:ind w:left="820" w:leftChars="400" w:hanging="705"/>
    </w:pPr>
    <w:rPr>
      <w:sz w:val="24"/>
    </w:rPr>
  </w:style>
  <w:style w:type="paragraph" w:customStyle="1" w:styleId="136">
    <w:name w:val="样式 正文首行缩进 2 + 首行缩进:  2 字符"/>
    <w:basedOn w:val="1"/>
    <w:qFormat/>
    <w:uiPriority w:val="0"/>
    <w:pPr>
      <w:tabs>
        <w:tab w:val="left" w:pos="987"/>
      </w:tabs>
      <w:adjustRightInd w:val="0"/>
      <w:snapToGrid w:val="0"/>
      <w:spacing w:line="360" w:lineRule="auto"/>
      <w:ind w:left="987" w:hanging="420"/>
    </w:pPr>
    <w:rPr>
      <w:rFonts w:ascii="Arial" w:hAnsi="Arial"/>
      <w:b/>
      <w:sz w:val="24"/>
    </w:rPr>
  </w:style>
  <w:style w:type="paragraph" w:customStyle="1" w:styleId="137">
    <w:name w:val="xl53"/>
    <w:basedOn w:val="1"/>
    <w:qFormat/>
    <w:uiPriority w:val="0"/>
    <w:pPr>
      <w:widowControl/>
      <w:pBdr>
        <w:left w:val="single" w:color="auto" w:sz="4" w:space="0"/>
        <w:bottom w:val="single" w:color="auto" w:sz="4" w:space="0"/>
      </w:pBdr>
      <w:spacing w:before="100" w:beforeLines="0" w:beforeAutospacing="1" w:after="100" w:afterLines="0" w:afterAutospacing="1"/>
      <w:jc w:val="center"/>
      <w:textAlignment w:val="center"/>
    </w:pPr>
    <w:rPr>
      <w:rFonts w:ascii="宋体" w:hAnsi="宋体"/>
      <w:kern w:val="0"/>
      <w:sz w:val="24"/>
    </w:rPr>
  </w:style>
  <w:style w:type="paragraph" w:customStyle="1" w:styleId="138">
    <w:name w:val="Body Text 2"/>
    <w:basedOn w:val="1"/>
    <w:qFormat/>
    <w:uiPriority w:val="0"/>
    <w:pPr>
      <w:adjustRightInd w:val="0"/>
      <w:spacing w:before="120" w:beforeLines="0" w:beforeAutospacing="0" w:line="360" w:lineRule="auto"/>
      <w:ind w:firstLine="480"/>
      <w:textAlignment w:val="baseline"/>
    </w:pPr>
    <w:rPr>
      <w:sz w:val="24"/>
    </w:rPr>
  </w:style>
  <w:style w:type="paragraph" w:customStyle="1" w:styleId="139">
    <w:name w:val=" Char"/>
    <w:basedOn w:val="1"/>
    <w:qFormat/>
    <w:uiPriority w:val="0"/>
    <w:pPr>
      <w:spacing w:line="240" w:lineRule="atLeast"/>
      <w:ind w:left="420" w:firstLine="420"/>
    </w:pPr>
    <w:rPr>
      <w:kern w:val="0"/>
      <w:sz w:val="21"/>
    </w:rPr>
  </w:style>
  <w:style w:type="paragraph" w:customStyle="1" w:styleId="140">
    <w:name w:val="_Style 139"/>
    <w:qFormat/>
    <w:uiPriority w:val="0"/>
    <w:rPr>
      <w:rFonts w:ascii="Times New Roman" w:hAnsi="Times New Roman" w:eastAsia="宋体" w:cs="Times New Roman"/>
      <w:kern w:val="2"/>
      <w:sz w:val="21"/>
      <w:lang w:val="en-US" w:eastAsia="zh-CN" w:bidi="ar-SA"/>
    </w:rPr>
  </w:style>
  <w:style w:type="paragraph" w:customStyle="1" w:styleId="141">
    <w:name w:val="文章正文"/>
    <w:basedOn w:val="1"/>
    <w:qFormat/>
    <w:uiPriority w:val="0"/>
    <w:pPr>
      <w:ind w:firstLine="560" w:firstLineChars="200"/>
    </w:pPr>
    <w:rPr>
      <w:rFonts w:ascii="仿宋_GB2312" w:hAnsi="宋体" w:eastAsia="仿宋_GB2312"/>
      <w:color w:val="000000"/>
    </w:rPr>
  </w:style>
  <w:style w:type="paragraph" w:customStyle="1" w:styleId="142">
    <w:name w:val="Figure Description"/>
    <w:next w:val="1"/>
    <w:qFormat/>
    <w:uiPriority w:val="0"/>
    <w:pPr>
      <w:snapToGrid w:val="0"/>
      <w:spacing w:before="80" w:after="320"/>
      <w:ind w:left="1134"/>
      <w:jc w:val="center"/>
    </w:pPr>
    <w:rPr>
      <w:rFonts w:ascii="Arial" w:hAnsi="Arial" w:eastAsia="黑体" w:cs="Times New Roman"/>
      <w:sz w:val="18"/>
      <w:lang w:val="en-US" w:eastAsia="zh-CN" w:bidi="ar-SA"/>
    </w:rPr>
  </w:style>
  <w:style w:type="paragraph" w:customStyle="1" w:styleId="143">
    <w:name w:val="Table Text Char Char"/>
    <w:qFormat/>
    <w:uiPriority w:val="0"/>
    <w:pPr>
      <w:snapToGrid w:val="0"/>
      <w:spacing w:before="80" w:after="80"/>
    </w:pPr>
    <w:rPr>
      <w:rFonts w:ascii="Arial" w:hAnsi="Arial" w:eastAsia="宋体" w:cs="Times New Roman"/>
      <w:kern w:val="2"/>
      <w:sz w:val="18"/>
      <w:lang w:val="en-US" w:eastAsia="zh-CN" w:bidi="ar-SA"/>
    </w:rPr>
  </w:style>
  <w:style w:type="paragraph" w:customStyle="1" w:styleId="144">
    <w:name w:val="编号正文"/>
    <w:basedOn w:val="145"/>
    <w:qFormat/>
    <w:uiPriority w:val="0"/>
    <w:pPr>
      <w:snapToGrid/>
      <w:spacing w:line="360" w:lineRule="auto"/>
      <w:ind w:left="1407" w:hanging="1047"/>
      <w:jc w:val="left"/>
    </w:pPr>
    <w:rPr>
      <w:rFonts w:eastAsia="仿宋_GB2312"/>
    </w:rPr>
  </w:style>
  <w:style w:type="paragraph" w:customStyle="1" w:styleId="145">
    <w:name w:val="文档正文"/>
    <w:basedOn w:val="1"/>
    <w:qFormat/>
    <w:uiPriority w:val="0"/>
    <w:pPr>
      <w:adjustRightInd w:val="0"/>
      <w:snapToGrid w:val="0"/>
      <w:spacing w:line="440" w:lineRule="exact"/>
      <w:ind w:firstLine="567"/>
      <w:textAlignment w:val="baseline"/>
    </w:pPr>
    <w:rPr>
      <w:rFonts w:ascii="Arial Narrow" w:hAnsi="Arial Narrow"/>
      <w:kern w:val="0"/>
      <w:sz w:val="24"/>
    </w:rPr>
  </w:style>
  <w:style w:type="paragraph" w:customStyle="1" w:styleId="146">
    <w:name w:val=" Char Char Char Char Char Char1 Char"/>
    <w:basedOn w:val="1"/>
    <w:qFormat/>
    <w:uiPriority w:val="0"/>
    <w:pPr>
      <w:widowControl/>
      <w:spacing w:after="160" w:afterLines="0" w:afterAutospacing="0" w:line="240" w:lineRule="exact"/>
      <w:jc w:val="left"/>
    </w:pPr>
    <w:rPr>
      <w:rFonts w:ascii="Verdana" w:hAnsi="Verdana"/>
      <w:kern w:val="0"/>
      <w:sz w:val="21"/>
      <w:lang w:eastAsia="en-US"/>
    </w:rPr>
  </w:style>
  <w:style w:type="paragraph" w:customStyle="1" w:styleId="147">
    <w:name w:val="样式 首行缩进:  0.74 厘米"/>
    <w:basedOn w:val="1"/>
    <w:qFormat/>
    <w:uiPriority w:val="0"/>
    <w:pPr>
      <w:spacing w:line="360" w:lineRule="auto"/>
      <w:ind w:firstLine="420"/>
    </w:pPr>
    <w:rPr>
      <w:sz w:val="24"/>
    </w:rPr>
  </w:style>
  <w:style w:type="paragraph" w:customStyle="1" w:styleId="148">
    <w:name w:val="摘要"/>
    <w:basedOn w:val="1"/>
    <w:next w:val="3"/>
    <w:qFormat/>
    <w:uiPriority w:val="0"/>
    <w:pPr>
      <w:spacing w:line="360" w:lineRule="auto"/>
    </w:pPr>
    <w:rPr>
      <w:rFonts w:eastAsia="黑体"/>
      <w:sz w:val="20"/>
    </w:rPr>
  </w:style>
  <w:style w:type="paragraph" w:customStyle="1" w:styleId="149">
    <w:name w:val="样式 宋体 五号 行距: 单倍行距"/>
    <w:basedOn w:val="1"/>
    <w:qFormat/>
    <w:uiPriority w:val="0"/>
    <w:pPr>
      <w:adjustRightInd w:val="0"/>
      <w:jc w:val="left"/>
    </w:pPr>
    <w:rPr>
      <w:rFonts w:ascii="宋体" w:hAnsi="宋体"/>
      <w:kern w:val="0"/>
      <w:sz w:val="21"/>
    </w:rPr>
  </w:style>
  <w:style w:type="paragraph" w:customStyle="1" w:styleId="150">
    <w:name w:val="样式 行距: 1.5 倍行距1"/>
    <w:basedOn w:val="1"/>
    <w:qFormat/>
    <w:uiPriority w:val="0"/>
    <w:pPr>
      <w:snapToGrid w:val="0"/>
    </w:pPr>
    <w:rPr>
      <w:sz w:val="21"/>
    </w:rPr>
  </w:style>
  <w:style w:type="paragraph" w:customStyle="1" w:styleId="151">
    <w:name w:val="附录4"/>
    <w:basedOn w:val="1"/>
    <w:next w:val="1"/>
    <w:qFormat/>
    <w:uiPriority w:val="0"/>
    <w:pPr>
      <w:widowControl/>
      <w:numPr>
        <w:ilvl w:val="3"/>
        <w:numId w:val="0"/>
      </w:numPr>
      <w:tabs>
        <w:tab w:val="left" w:pos="1134"/>
      </w:tabs>
      <w:spacing w:line="300" w:lineRule="auto"/>
      <w:ind w:left="1361" w:hanging="1361"/>
      <w:outlineLvl w:val="3"/>
    </w:pPr>
    <w:rPr>
      <w:rFonts w:ascii="Arial" w:hAnsi="Arial" w:eastAsia="黑体"/>
      <w:kern w:val="0"/>
    </w:rPr>
  </w:style>
  <w:style w:type="paragraph" w:customStyle="1" w:styleId="152">
    <w:name w:val="样式 样式 首行缩进:  2 字符 + 首行缩进:  2 字符"/>
    <w:basedOn w:val="1"/>
    <w:qFormat/>
    <w:uiPriority w:val="0"/>
    <w:pPr>
      <w:spacing w:line="360" w:lineRule="auto"/>
      <w:ind w:firstLine="480" w:firstLineChars="200"/>
    </w:pPr>
    <w:rPr>
      <w:sz w:val="24"/>
    </w:rPr>
  </w:style>
  <w:style w:type="paragraph" w:customStyle="1" w:styleId="153">
    <w:name w:val="样式 正文缩进正文（首行缩进两字）表正文正文非缩进特点标题4段1 + 首行缩进:  2 字符"/>
    <w:basedOn w:val="15"/>
    <w:qFormat/>
    <w:uiPriority w:val="0"/>
    <w:pPr>
      <w:ind w:firstLine="480" w:firstLineChars="200"/>
    </w:pPr>
  </w:style>
  <w:style w:type="paragraph" w:customStyle="1" w:styleId="154">
    <w:name w:val="表格1"/>
    <w:basedOn w:val="1"/>
    <w:next w:val="1"/>
    <w:qFormat/>
    <w:uiPriority w:val="0"/>
    <w:pPr>
      <w:kinsoku w:val="0"/>
      <w:wordWrap w:val="0"/>
      <w:overflowPunct w:val="0"/>
      <w:autoSpaceDE w:val="0"/>
      <w:autoSpaceDN w:val="0"/>
      <w:adjustRightInd w:val="0"/>
      <w:spacing w:line="288" w:lineRule="auto"/>
      <w:jc w:val="center"/>
      <w:textAlignment w:val="baseline"/>
    </w:pPr>
    <w:rPr>
      <w:rFonts w:ascii="宋体"/>
      <w:kern w:val="0"/>
      <w:sz w:val="18"/>
    </w:rPr>
  </w:style>
  <w:style w:type="paragraph" w:customStyle="1" w:styleId="155">
    <w:name w:val="Table Text Char1"/>
    <w:qFormat/>
    <w:uiPriority w:val="0"/>
    <w:pPr>
      <w:snapToGrid w:val="0"/>
      <w:spacing w:before="80" w:after="80"/>
    </w:pPr>
    <w:rPr>
      <w:rFonts w:ascii="Arial" w:hAnsi="Arial" w:eastAsia="宋体" w:cs="Times New Roman"/>
      <w:kern w:val="2"/>
      <w:sz w:val="18"/>
      <w:lang w:val="en-US" w:eastAsia="zh-CN" w:bidi="ar-SA"/>
    </w:rPr>
  </w:style>
  <w:style w:type="paragraph" w:customStyle="1" w:styleId="156">
    <w:name w:val=" Char Char Char"/>
    <w:basedOn w:val="1"/>
    <w:qFormat/>
    <w:uiPriority w:val="0"/>
    <w:rPr>
      <w:rFonts w:ascii="Tahoma" w:hAnsi="Tahoma"/>
      <w:sz w:val="24"/>
    </w:rPr>
  </w:style>
  <w:style w:type="paragraph" w:customStyle="1" w:styleId="157">
    <w:name w:val="样式2"/>
    <w:basedOn w:val="5"/>
    <w:qFormat/>
    <w:uiPriority w:val="0"/>
    <w:pPr>
      <w:spacing w:line="400" w:lineRule="exact"/>
      <w:jc w:val="center"/>
      <w:outlineLvl w:val="0"/>
    </w:pPr>
    <w:rPr>
      <w:b w:val="0"/>
      <w:sz w:val="44"/>
    </w:rPr>
  </w:style>
  <w:style w:type="paragraph" w:customStyle="1" w:styleId="158">
    <w:name w:val="Char Char Char Char"/>
    <w:basedOn w:val="1"/>
    <w:qFormat/>
    <w:uiPriority w:val="0"/>
    <w:pPr>
      <w:pageBreakBefore/>
      <w:widowControl/>
      <w:spacing w:after="160" w:afterLines="0" w:line="240" w:lineRule="exact"/>
      <w:jc w:val="left"/>
    </w:pPr>
    <w:rPr>
      <w:rFonts w:ascii="Verdana" w:hAnsi="Verdana"/>
      <w:kern w:val="0"/>
      <w:sz w:val="20"/>
      <w:lang w:eastAsia="en-US"/>
    </w:rPr>
  </w:style>
  <w:style w:type="paragraph" w:customStyle="1" w:styleId="159">
    <w:name w:val=" Char Char 字元 字元 字元 Char Char Char Char"/>
    <w:basedOn w:val="1"/>
    <w:qFormat/>
    <w:uiPriority w:val="0"/>
    <w:pPr>
      <w:adjustRightInd w:val="0"/>
      <w:spacing w:line="360" w:lineRule="auto"/>
    </w:pPr>
    <w:rPr>
      <w:kern w:val="0"/>
      <w:sz w:val="24"/>
    </w:rPr>
  </w:style>
  <w:style w:type="paragraph" w:customStyle="1" w:styleId="160">
    <w:name w:val="项目"/>
    <w:basedOn w:val="1"/>
    <w:qFormat/>
    <w:uiPriority w:val="0"/>
    <w:pPr>
      <w:tabs>
        <w:tab w:val="left" w:pos="1280"/>
      </w:tabs>
      <w:spacing w:before="120" w:beforeLines="0" w:beforeAutospacing="0" w:after="120" w:afterLines="0" w:afterAutospacing="0" w:line="360" w:lineRule="auto"/>
      <w:ind w:left="-7" w:firstLine="567"/>
      <w:jc w:val="left"/>
      <w:textAlignment w:val="baseline"/>
    </w:pPr>
    <w:rPr>
      <w:rFonts w:ascii="宋体"/>
      <w:kern w:val="0"/>
      <w:sz w:val="24"/>
    </w:rPr>
  </w:style>
  <w:style w:type="paragraph" w:customStyle="1" w:styleId="161">
    <w:name w:val="正文格式 Char"/>
    <w:basedOn w:val="1"/>
    <w:qFormat/>
    <w:uiPriority w:val="0"/>
    <w:pPr>
      <w:widowControl/>
      <w:adjustRightInd w:val="0"/>
      <w:spacing w:line="440" w:lineRule="atLeast"/>
      <w:ind w:firstLine="510"/>
      <w:textAlignment w:val="baseline"/>
    </w:pPr>
    <w:rPr>
      <w:kern w:val="0"/>
      <w:sz w:val="24"/>
    </w:rPr>
  </w:style>
  <w:style w:type="paragraph" w:customStyle="1" w:styleId="162">
    <w:name w:val=" Char1"/>
    <w:basedOn w:val="1"/>
    <w:qFormat/>
    <w:uiPriority w:val="0"/>
    <w:rPr>
      <w:sz w:val="21"/>
    </w:rPr>
  </w:style>
  <w:style w:type="paragraph" w:customStyle="1" w:styleId="163">
    <w:name w:val="附录1"/>
    <w:basedOn w:val="1"/>
    <w:next w:val="1"/>
    <w:qFormat/>
    <w:uiPriority w:val="0"/>
    <w:pPr>
      <w:tabs>
        <w:tab w:val="left" w:pos="1304"/>
      </w:tabs>
      <w:ind w:left="425" w:hanging="425"/>
      <w:outlineLvl w:val="0"/>
    </w:pPr>
    <w:rPr>
      <w:rFonts w:ascii="黑体" w:hAnsi="黑体" w:eastAsia="黑体"/>
      <w:b/>
      <w:sz w:val="44"/>
    </w:rPr>
  </w:style>
  <w:style w:type="paragraph" w:customStyle="1" w:styleId="164">
    <w:name w:val="表头文本"/>
    <w:qFormat/>
    <w:uiPriority w:val="0"/>
    <w:pPr>
      <w:jc w:val="center"/>
    </w:pPr>
    <w:rPr>
      <w:rFonts w:ascii="Arial" w:hAnsi="Arial" w:eastAsia="宋体" w:cs="Times New Roman"/>
      <w:b/>
      <w:sz w:val="21"/>
      <w:lang w:val="en-US" w:eastAsia="zh-CN" w:bidi="ar-SA"/>
    </w:rPr>
  </w:style>
  <w:style w:type="paragraph" w:customStyle="1" w:styleId="165">
    <w:name w:val="Table Description"/>
    <w:next w:val="1"/>
    <w:qFormat/>
    <w:uiPriority w:val="0"/>
    <w:pPr>
      <w:keepNext/>
      <w:snapToGrid w:val="0"/>
      <w:spacing w:before="160" w:after="80"/>
      <w:ind w:left="1134"/>
      <w:jc w:val="center"/>
    </w:pPr>
    <w:rPr>
      <w:rFonts w:ascii="Arial" w:hAnsi="Arial" w:eastAsia="黑体" w:cs="Times New Roman"/>
      <w:sz w:val="18"/>
      <w:lang w:val="en-US" w:eastAsia="zh-CN" w:bidi="ar-SA"/>
    </w:rPr>
  </w:style>
  <w:style w:type="paragraph" w:customStyle="1" w:styleId="166">
    <w:name w:val="内容标题"/>
    <w:basedOn w:val="17"/>
    <w:qFormat/>
    <w:uiPriority w:val="0"/>
    <w:rPr>
      <w:rFonts w:ascii="Tahoma" w:hAnsi="Tahoma"/>
      <w:sz w:val="24"/>
    </w:rPr>
  </w:style>
  <w:style w:type="paragraph" w:customStyle="1" w:styleId="167">
    <w:name w:val="表头样式"/>
    <w:basedOn w:val="1"/>
    <w:qFormat/>
    <w:uiPriority w:val="0"/>
    <w:pPr>
      <w:autoSpaceDE w:val="0"/>
      <w:autoSpaceDN w:val="0"/>
      <w:adjustRightInd w:val="0"/>
      <w:spacing w:line="360" w:lineRule="auto"/>
      <w:jc w:val="left"/>
    </w:pPr>
    <w:rPr>
      <w:b/>
      <w:kern w:val="0"/>
      <w:sz w:val="21"/>
    </w:rPr>
  </w:style>
  <w:style w:type="paragraph" w:customStyle="1" w:styleId="168">
    <w:name w:val="1"/>
    <w:basedOn w:val="1"/>
    <w:next w:val="31"/>
    <w:qFormat/>
    <w:uiPriority w:val="0"/>
    <w:rPr>
      <w:rFonts w:ascii="Tahoma" w:hAnsi="Tahoma"/>
      <w:sz w:val="24"/>
    </w:rPr>
  </w:style>
  <w:style w:type="paragraph" w:customStyle="1" w:styleId="169">
    <w:name w:val="IN Step"/>
    <w:basedOn w:val="1"/>
    <w:qFormat/>
    <w:uiPriority w:val="0"/>
    <w:pPr>
      <w:keepLines/>
      <w:widowControl/>
      <w:tabs>
        <w:tab w:val="left" w:pos="1134"/>
      </w:tabs>
      <w:spacing w:before="80" w:beforeLines="0" w:beforeAutospacing="0" w:after="80" w:afterLines="0" w:afterAutospacing="0" w:line="300" w:lineRule="auto"/>
      <w:ind w:left="1134" w:hanging="907"/>
      <w:outlineLvl w:val="8"/>
    </w:pPr>
    <w:rPr>
      <w:rFonts w:ascii="Arial" w:hAnsi="Arial"/>
      <w:kern w:val="0"/>
      <w:sz w:val="21"/>
    </w:rPr>
  </w:style>
  <w:style w:type="paragraph" w:customStyle="1" w:styleId="170">
    <w:name w:val="简单回函地址"/>
    <w:basedOn w:val="1"/>
    <w:qFormat/>
    <w:uiPriority w:val="0"/>
    <w:pPr>
      <w:adjustRightInd w:val="0"/>
      <w:snapToGrid w:val="0"/>
      <w:spacing w:line="360" w:lineRule="auto"/>
    </w:pPr>
    <w:rPr>
      <w:sz w:val="24"/>
    </w:rPr>
  </w:style>
  <w:style w:type="paragraph" w:customStyle="1" w:styleId="171">
    <w:name w:val="正文 + 三号"/>
    <w:basedOn w:val="1"/>
    <w:qFormat/>
    <w:uiPriority w:val="0"/>
    <w:rPr>
      <w:rFonts w:eastAsia="宋体"/>
      <w:kern w:val="2"/>
      <w:sz w:val="21"/>
      <w:lang w:val="en-US" w:eastAsia="zh-CN"/>
    </w:rPr>
  </w:style>
  <w:style w:type="paragraph" w:customStyle="1" w:styleId="172">
    <w:name w:val="图标"/>
    <w:basedOn w:val="1"/>
    <w:next w:val="1"/>
    <w:qFormat/>
    <w:uiPriority w:val="0"/>
    <w:pPr>
      <w:tabs>
        <w:tab w:val="left" w:pos="420"/>
        <w:tab w:val="left" w:pos="567"/>
        <w:tab w:val="left" w:pos="720"/>
      </w:tabs>
      <w:autoSpaceDE w:val="0"/>
      <w:autoSpaceDN w:val="0"/>
      <w:adjustRightInd w:val="0"/>
      <w:snapToGrid w:val="0"/>
      <w:spacing w:before="120" w:beforeLines="0" w:beforeAutospacing="0" w:after="120" w:afterLines="0" w:afterAutospacing="0" w:line="320" w:lineRule="atLeast"/>
      <w:ind w:left="420" w:hanging="420"/>
      <w:jc w:val="center"/>
      <w:textAlignment w:val="baseline"/>
    </w:pPr>
    <w:rPr>
      <w:rFonts w:eastAsia="仿宋_GB2312"/>
      <w:kern w:val="0"/>
      <w:sz w:val="24"/>
    </w:rPr>
  </w:style>
  <w:style w:type="paragraph" w:customStyle="1" w:styleId="173">
    <w:name w:val="标题5"/>
    <w:basedOn w:val="1"/>
    <w:qFormat/>
    <w:uiPriority w:val="0"/>
    <w:pPr>
      <w:tabs>
        <w:tab w:val="left" w:pos="0"/>
      </w:tabs>
      <w:autoSpaceDE w:val="0"/>
      <w:autoSpaceDN w:val="0"/>
      <w:adjustRightInd w:val="0"/>
      <w:snapToGrid w:val="0"/>
      <w:spacing w:line="320" w:lineRule="atLeast"/>
    </w:pPr>
    <w:rPr>
      <w:rFonts w:ascii="宋体"/>
      <w:kern w:val="0"/>
      <w:sz w:val="21"/>
    </w:rPr>
  </w:style>
  <w:style w:type="paragraph" w:customStyle="1" w:styleId="174">
    <w:name w:val="默认段落字体 Para Char Char Char Char Char Char Char"/>
    <w:basedOn w:val="1"/>
    <w:qFormat/>
    <w:uiPriority w:val="0"/>
    <w:rPr>
      <w:rFonts w:ascii="Tahoma" w:hAnsi="Tahoma"/>
      <w:sz w:val="24"/>
    </w:rPr>
  </w:style>
  <w:style w:type="paragraph" w:customStyle="1" w:styleId="175">
    <w:name w:val="正文表格"/>
    <w:basedOn w:val="1"/>
    <w:qFormat/>
    <w:uiPriority w:val="0"/>
    <w:pPr>
      <w:adjustRightInd w:val="0"/>
      <w:spacing w:before="40" w:beforeLines="0" w:beforeAutospacing="0" w:after="40" w:afterLines="0" w:afterAutospacing="0"/>
    </w:pPr>
    <w:rPr>
      <w:sz w:val="24"/>
    </w:rPr>
  </w:style>
  <w:style w:type="paragraph" w:customStyle="1" w:styleId="176">
    <w:name w:val="附录3"/>
    <w:basedOn w:val="1"/>
    <w:next w:val="1"/>
    <w:qFormat/>
    <w:uiPriority w:val="0"/>
    <w:pPr>
      <w:numPr>
        <w:ilvl w:val="2"/>
        <w:numId w:val="0"/>
      </w:numPr>
      <w:tabs>
        <w:tab w:val="left" w:pos="851"/>
      </w:tabs>
      <w:ind w:left="425" w:hanging="425"/>
      <w:outlineLvl w:val="2"/>
    </w:pPr>
    <w:rPr>
      <w:rFonts w:eastAsia="黑体"/>
      <w:b/>
      <w:sz w:val="32"/>
    </w:rPr>
  </w:style>
  <w:style w:type="paragraph" w:customStyle="1" w:styleId="177">
    <w:name w:val="图例"/>
    <w:basedOn w:val="1"/>
    <w:qFormat/>
    <w:uiPriority w:val="0"/>
    <w:pPr>
      <w:spacing w:before="120" w:beforeLines="0" w:beforeAutospacing="0" w:after="120" w:afterLines="0" w:afterAutospacing="0" w:line="360" w:lineRule="auto"/>
      <w:jc w:val="center"/>
    </w:pPr>
    <w:rPr>
      <w:rFonts w:eastAsia="仿宋_GB2312"/>
      <w:b/>
      <w:sz w:val="24"/>
    </w:rPr>
  </w:style>
  <w:style w:type="paragraph" w:customStyle="1" w:styleId="178">
    <w:name w:val="Title - Date"/>
    <w:basedOn w:val="55"/>
    <w:next w:val="1"/>
    <w:qFormat/>
    <w:uiPriority w:val="0"/>
    <w:pPr>
      <w:spacing w:before="240" w:beforeLines="0" w:beforeAutospacing="0" w:after="720" w:afterLines="0" w:afterAutospacing="0"/>
    </w:pPr>
    <w:rPr>
      <w:sz w:val="28"/>
    </w:rPr>
  </w:style>
  <w:style w:type="paragraph" w:customStyle="1" w:styleId="179">
    <w:name w:val="样式 样式 正文首行缩进 2 + 左  0 字符 + 首行缩进:  2.57 字符"/>
    <w:basedOn w:val="1"/>
    <w:next w:val="1"/>
    <w:qFormat/>
    <w:uiPriority w:val="0"/>
    <w:pPr>
      <w:adjustRightInd w:val="0"/>
      <w:snapToGrid w:val="0"/>
      <w:spacing w:after="120" w:afterLines="0" w:afterAutospacing="0"/>
      <w:ind w:firstLine="540" w:firstLineChars="257"/>
    </w:pPr>
    <w:rPr>
      <w:sz w:val="21"/>
    </w:rPr>
  </w:style>
  <w:style w:type="paragraph" w:customStyle="1" w:styleId="180">
    <w:name w:val="Table Heading"/>
    <w:qFormat/>
    <w:uiPriority w:val="0"/>
    <w:pPr>
      <w:keepNext/>
      <w:snapToGrid w:val="0"/>
      <w:spacing w:before="80" w:after="80"/>
      <w:jc w:val="center"/>
    </w:pPr>
    <w:rPr>
      <w:rFonts w:ascii="Arial" w:hAnsi="Arial" w:eastAsia="黑体" w:cs="Times New Roman"/>
      <w:sz w:val="18"/>
      <w:lang w:val="en-US" w:eastAsia="zh-CN" w:bidi="ar-SA"/>
    </w:rPr>
  </w:style>
  <w:style w:type="paragraph" w:customStyle="1" w:styleId="181">
    <w:name w:val="文档正文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82">
    <w:name w:val="_"/>
    <w:basedOn w:val="1"/>
    <w:qFormat/>
    <w:uiPriority w:val="0"/>
    <w:pPr>
      <w:adjustRightInd w:val="0"/>
      <w:spacing w:line="360" w:lineRule="auto"/>
      <w:ind w:left="480" w:firstLine="200" w:firstLineChars="200"/>
      <w:textAlignment w:val="baseline"/>
    </w:pPr>
    <w:rPr>
      <w:kern w:val="0"/>
      <w:sz w:val="24"/>
    </w:rPr>
  </w:style>
  <w:style w:type="paragraph" w:customStyle="1" w:styleId="183">
    <w:name w:val=" Char Char Char Char Char"/>
    <w:basedOn w:val="1"/>
    <w:qFormat/>
    <w:uiPriority w:val="0"/>
    <w:pPr>
      <w:tabs>
        <w:tab w:val="left" w:pos="425"/>
      </w:tabs>
      <w:ind w:left="425" w:hanging="425"/>
    </w:pPr>
    <w:rPr>
      <w:rFonts w:ascii="Tahoma" w:hAnsi="Tahoma"/>
      <w:sz w:val="24"/>
    </w:rPr>
  </w:style>
  <w:style w:type="paragraph" w:customStyle="1" w:styleId="184">
    <w:name w:val="章标题"/>
    <w:next w:val="1"/>
    <w:qFormat/>
    <w:uiPriority w:val="0"/>
    <w:pPr>
      <w:spacing w:before="156" w:beforeLines="50" w:after="156" w:afterLines="50"/>
      <w:jc w:val="both"/>
      <w:outlineLvl w:val="1"/>
    </w:pPr>
    <w:rPr>
      <w:rFonts w:ascii="黑体" w:hAnsi="Times New Roman" w:eastAsia="黑体" w:cs="Times New Roman"/>
      <w:sz w:val="24"/>
      <w:lang w:val="en-US" w:eastAsia="zh-CN" w:bidi="ar-SA"/>
    </w:rPr>
  </w:style>
  <w:style w:type="paragraph" w:customStyle="1" w:styleId="185">
    <w:name w:val=" Char1 Char Char Char"/>
    <w:basedOn w:val="1"/>
    <w:qFormat/>
    <w:uiPriority w:val="0"/>
    <w:rPr>
      <w:rFonts w:ascii="Tahoma" w:hAnsi="Tahoma"/>
      <w:sz w:val="24"/>
    </w:rPr>
  </w:style>
  <w:style w:type="paragraph" w:customStyle="1" w:styleId="186">
    <w:name w:val="样式 标题 1 + 居中 段前: 6 磅 段后: 6 磅 行距: 1.5 倍行距"/>
    <w:basedOn w:val="2"/>
    <w:qFormat/>
    <w:uiPriority w:val="0"/>
    <w:pPr>
      <w:keepLines/>
      <w:tabs>
        <w:tab w:val="clear" w:pos="3360"/>
      </w:tabs>
      <w:adjustRightInd w:val="0"/>
      <w:spacing w:before="120" w:beforeLines="0" w:beforeAutospacing="0" w:line="360" w:lineRule="auto"/>
    </w:pPr>
    <w:rPr>
      <w:rFonts w:eastAsia="宋体"/>
      <w:b/>
      <w:kern w:val="44"/>
      <w:sz w:val="32"/>
    </w:rPr>
  </w:style>
  <w:style w:type="paragraph" w:customStyle="1" w:styleId="187">
    <w:name w:val="样式4"/>
    <w:basedOn w:val="5"/>
    <w:qFormat/>
    <w:uiPriority w:val="0"/>
    <w:pPr>
      <w:numPr>
        <w:ilvl w:val="0"/>
        <w:numId w:val="0"/>
      </w:numPr>
      <w:adjustRightInd w:val="0"/>
      <w:snapToGrid w:val="0"/>
      <w:spacing w:before="280" w:beforeLines="0" w:beforeAutospacing="0" w:line="372" w:lineRule="auto"/>
    </w:pPr>
  </w:style>
  <w:style w:type="paragraph" w:customStyle="1" w:styleId="188">
    <w:name w:val="普通正文"/>
    <w:basedOn w:val="1"/>
    <w:qFormat/>
    <w:uiPriority w:val="0"/>
    <w:pPr>
      <w:adjustRightInd w:val="0"/>
      <w:spacing w:before="120" w:beforeLines="0" w:beforeAutospacing="0" w:after="120" w:afterLines="0" w:afterAutospacing="0" w:line="360" w:lineRule="auto"/>
      <w:ind w:firstLine="480"/>
      <w:jc w:val="left"/>
      <w:textAlignment w:val="baseline"/>
    </w:pPr>
    <w:rPr>
      <w:rFonts w:ascii="Arial" w:hAnsi="Arial"/>
      <w:kern w:val="0"/>
      <w:sz w:val="24"/>
    </w:rPr>
  </w:style>
  <w:style w:type="paragraph" w:customStyle="1" w:styleId="189">
    <w:name w:val="CSS1级正文 Char"/>
    <w:basedOn w:val="22"/>
    <w:qFormat/>
    <w:uiPriority w:val="0"/>
    <w:pPr>
      <w:adjustRightInd w:val="0"/>
      <w:snapToGrid w:val="0"/>
      <w:spacing w:line="360" w:lineRule="auto"/>
      <w:ind w:firstLine="480"/>
    </w:pPr>
    <w:rPr>
      <w:rFonts w:ascii="Times New Roman" w:eastAsia="宋体"/>
      <w:sz w:val="24"/>
    </w:rPr>
  </w:style>
  <w:style w:type="paragraph" w:customStyle="1" w:styleId="190">
    <w:name w:val="文档正文 Char Char Char Char Char"/>
    <w:basedOn w:val="1"/>
    <w:qFormat/>
    <w:uiPriority w:val="0"/>
    <w:pPr>
      <w:adjustRightInd w:val="0"/>
      <w:spacing w:line="440" w:lineRule="exact"/>
      <w:ind w:firstLine="420"/>
      <w:textAlignment w:val="baseline"/>
    </w:pPr>
    <w:rPr>
      <w:rFonts w:ascii="Arial Narrow" w:hAnsi="Arial Narrow"/>
      <w:kern w:val="0"/>
      <w:sz w:val="24"/>
    </w:rPr>
  </w:style>
  <w:style w:type="paragraph" w:customStyle="1" w:styleId="191">
    <w:name w:val="段落正文"/>
    <w:basedOn w:val="1"/>
    <w:qFormat/>
    <w:uiPriority w:val="0"/>
    <w:pPr>
      <w:spacing w:before="156" w:beforeLines="50" w:beforeAutospacing="0" w:line="360" w:lineRule="auto"/>
      <w:ind w:firstLine="200" w:firstLineChars="200"/>
    </w:pPr>
    <w:rPr>
      <w:spacing w:val="2"/>
      <w:sz w:val="24"/>
    </w:rPr>
  </w:style>
  <w:style w:type="paragraph" w:customStyle="1" w:styleId="192">
    <w:name w:val=" Char Char Char Char Char Char Char Char Char Char Char Char Char"/>
    <w:basedOn w:val="1"/>
    <w:qFormat/>
    <w:uiPriority w:val="0"/>
    <w:pPr>
      <w:widowControl/>
      <w:spacing w:after="160" w:afterLines="0" w:afterAutospacing="0" w:line="240" w:lineRule="exact"/>
      <w:jc w:val="left"/>
    </w:pPr>
    <w:rPr>
      <w:rFonts w:ascii="Verdana" w:hAnsi="Verdana" w:eastAsia="仿宋_GB2312"/>
      <w:kern w:val="0"/>
      <w:sz w:val="24"/>
      <w:lang w:eastAsia="en-US"/>
    </w:rPr>
  </w:style>
  <w:style w:type="paragraph" w:customStyle="1" w:styleId="193">
    <w:name w:val="Char"/>
    <w:basedOn w:val="1"/>
    <w:qFormat/>
    <w:uiPriority w:val="0"/>
    <w:pPr>
      <w:widowControl/>
      <w:spacing w:line="400" w:lineRule="exact"/>
      <w:jc w:val="center"/>
    </w:pPr>
    <w:rPr>
      <w:sz w:val="24"/>
    </w:rPr>
  </w:style>
  <w:style w:type="paragraph" w:customStyle="1" w:styleId="194">
    <w:name w:val="Pull Quote"/>
    <w:basedOn w:val="1"/>
    <w:qFormat/>
    <w:uiPriority w:val="0"/>
    <w:pPr>
      <w:pBdr>
        <w:top w:val="single" w:color="auto" w:sz="18" w:space="12"/>
        <w:left w:val="single" w:color="FFFFFF" w:sz="6" w:space="12"/>
        <w:bottom w:val="single" w:color="auto" w:sz="6" w:space="12"/>
        <w:right w:val="single" w:color="FFFFFF" w:sz="6" w:space="12"/>
      </w:pBdr>
      <w:shd w:val="pct10" w:color="auto" w:fill="auto"/>
      <w:spacing w:before="120" w:beforeLines="0" w:beforeAutospacing="0" w:after="240" w:afterLines="0" w:afterAutospacing="0" w:line="288" w:lineRule="auto"/>
      <w:ind w:left="144" w:right="144"/>
      <w:jc w:val="center"/>
    </w:pPr>
    <w:rPr>
      <w:b/>
      <w:i/>
      <w:sz w:val="24"/>
    </w:rPr>
  </w:style>
  <w:style w:type="paragraph" w:customStyle="1" w:styleId="195">
    <w:name w:val="Body Text Indent 2"/>
    <w:basedOn w:val="1"/>
    <w:qFormat/>
    <w:uiPriority w:val="0"/>
    <w:pPr>
      <w:adjustRightInd w:val="0"/>
      <w:spacing w:before="120" w:beforeLines="0" w:beforeAutospacing="0"/>
      <w:ind w:firstLine="420"/>
      <w:textAlignment w:val="baseline"/>
    </w:pPr>
    <w:rPr>
      <w:sz w:val="24"/>
    </w:rPr>
  </w:style>
  <w:style w:type="paragraph" w:customStyle="1" w:styleId="196">
    <w:name w:val="没有缩进（为图形使用）"/>
    <w:basedOn w:val="1"/>
    <w:qFormat/>
    <w:uiPriority w:val="0"/>
    <w:pPr>
      <w:spacing w:before="120" w:beforeLines="0" w:beforeAutospacing="0" w:after="120" w:afterLines="0" w:afterAutospacing="0" w:line="360" w:lineRule="auto"/>
    </w:pPr>
    <w:rPr>
      <w:sz w:val="24"/>
    </w:rPr>
  </w:style>
  <w:style w:type="paragraph" w:customStyle="1" w:styleId="197">
    <w:name w:val="xl40"/>
    <w:basedOn w:val="1"/>
    <w:qFormat/>
    <w:uiPriority w:val="0"/>
    <w:pPr>
      <w:widowControl/>
      <w:pBdr>
        <w:left w:val="single" w:color="auto" w:sz="4" w:space="0"/>
        <w:right w:val="single" w:color="auto" w:sz="4" w:space="0"/>
      </w:pBdr>
      <w:spacing w:before="100" w:beforeLines="0" w:beforeAutospacing="1" w:after="100" w:afterLines="0" w:afterAutospacing="1"/>
      <w:jc w:val="center"/>
    </w:pPr>
    <w:rPr>
      <w:rFonts w:ascii="宋体" w:hAnsi="宋体"/>
      <w:kern w:val="0"/>
      <w:sz w:val="24"/>
    </w:rPr>
  </w:style>
  <w:style w:type="paragraph" w:customStyle="1" w:styleId="198">
    <w:name w:val="Item Step in Table"/>
    <w:qFormat/>
    <w:uiPriority w:val="0"/>
    <w:pPr>
      <w:tabs>
        <w:tab w:val="left" w:pos="397"/>
      </w:tabs>
      <w:spacing w:before="40" w:after="40"/>
      <w:ind w:left="397" w:hanging="397"/>
      <w:jc w:val="both"/>
    </w:pPr>
    <w:rPr>
      <w:rFonts w:ascii="Arial" w:hAnsi="Arial" w:eastAsia="宋体" w:cs="Times New Roman"/>
      <w:sz w:val="18"/>
      <w:lang w:val="en-US" w:eastAsia="zh-CN" w:bidi="ar-SA"/>
    </w:rPr>
  </w:style>
  <w:style w:type="paragraph" w:customStyle="1" w:styleId="199">
    <w:name w:val="Char1 Char Char Char"/>
    <w:basedOn w:val="1"/>
    <w:qFormat/>
    <w:uiPriority w:val="0"/>
    <w:rPr>
      <w:rFonts w:ascii="Tahoma" w:hAnsi="Tahoma"/>
      <w:sz w:val="21"/>
    </w:rPr>
  </w:style>
  <w:style w:type="paragraph" w:customStyle="1" w:styleId="200">
    <w:name w:val="Char Char Char Char Char Char Char"/>
    <w:basedOn w:val="17"/>
    <w:qFormat/>
    <w:uiPriority w:val="0"/>
    <w:rPr>
      <w:rFonts w:ascii="宋体" w:hAnsi="Tahoma"/>
    </w:rPr>
  </w:style>
  <w:style w:type="paragraph" w:customStyle="1" w:styleId="201">
    <w:name w:val="tabletext"/>
    <w:basedOn w:val="1"/>
    <w:qFormat/>
    <w:uiPriority w:val="0"/>
    <w:pPr>
      <w:widowControl/>
      <w:spacing w:before="100" w:beforeLines="0" w:beforeAutospacing="1" w:after="100" w:afterLines="0" w:afterAutospacing="1"/>
      <w:jc w:val="left"/>
    </w:pPr>
    <w:rPr>
      <w:rFonts w:ascii="宋体" w:hAnsi="宋体" w:cs="宋体"/>
      <w:kern w:val="0"/>
      <w:sz w:val="24"/>
      <w:szCs w:val="24"/>
    </w:rPr>
  </w:style>
  <w:style w:type="paragraph" w:customStyle="1" w:styleId="202">
    <w:name w:val="样式1"/>
    <w:basedOn w:val="5"/>
    <w:qFormat/>
    <w:uiPriority w:val="0"/>
    <w:pPr>
      <w:spacing w:before="500" w:beforeLines="0" w:after="260" w:afterLines="0" w:line="560" w:lineRule="atLeast"/>
    </w:pPr>
  </w:style>
  <w:style w:type="paragraph" w:customStyle="1" w:styleId="203">
    <w:name w:val="二级列表"/>
    <w:basedOn w:val="191"/>
    <w:next w:val="191"/>
    <w:qFormat/>
    <w:uiPriority w:val="0"/>
    <w:pPr>
      <w:tabs>
        <w:tab w:val="left" w:pos="2120"/>
      </w:tabs>
      <w:ind w:firstLine="0" w:firstLineChars="0"/>
    </w:pPr>
    <w:rPr>
      <w:b/>
    </w:rPr>
  </w:style>
  <w:style w:type="paragraph" w:customStyle="1" w:styleId="204">
    <w:name w:val="可研正文"/>
    <w:basedOn w:val="22"/>
    <w:qFormat/>
    <w:uiPriority w:val="0"/>
    <w:pPr>
      <w:adjustRightInd w:val="0"/>
      <w:snapToGrid w:val="0"/>
      <w:spacing w:line="440" w:lineRule="exact"/>
      <w:ind w:firstLine="567"/>
    </w:pPr>
    <w:rPr>
      <w:sz w:val="28"/>
    </w:rPr>
  </w:style>
  <w:style w:type="paragraph" w:customStyle="1" w:styleId="205">
    <w:name w:val="默认段落字体 Para Char Char Char Char Char Char Char Char Char1 Char Char Char Char"/>
    <w:basedOn w:val="1"/>
    <w:qFormat/>
    <w:uiPriority w:val="0"/>
    <w:rPr>
      <w:rFonts w:ascii="Tahoma" w:hAnsi="Tahoma"/>
      <w:sz w:val="24"/>
    </w:rPr>
  </w:style>
  <w:style w:type="paragraph" w:customStyle="1" w:styleId="206">
    <w:name w:val=" Char Char1 Char"/>
    <w:basedOn w:val="1"/>
    <w:qFormat/>
    <w:uiPriority w:val="0"/>
    <w:rPr>
      <w:rFonts w:ascii="Tahoma" w:hAnsi="Tahoma"/>
      <w:sz w:val="24"/>
      <w:szCs w:val="24"/>
    </w:rPr>
  </w:style>
  <w:style w:type="paragraph" w:customStyle="1" w:styleId="207">
    <w:name w:val="Char Char1 Char Char Char Char Char Char Char Char"/>
    <w:basedOn w:val="1"/>
    <w:qFormat/>
    <w:uiPriority w:val="0"/>
    <w:pPr>
      <w:widowControl/>
      <w:spacing w:after="160" w:afterLines="0" w:line="240" w:lineRule="exact"/>
      <w:jc w:val="left"/>
    </w:pPr>
    <w:rPr>
      <w:rFonts w:ascii="Verdana" w:hAnsi="Verdana"/>
      <w:kern w:val="0"/>
      <w:sz w:val="20"/>
      <w:lang w:eastAsia="en-US"/>
    </w:rPr>
  </w:style>
  <w:style w:type="paragraph" w:customStyle="1" w:styleId="208">
    <w:name w:val="Note"/>
    <w:basedOn w:val="1"/>
    <w:qFormat/>
    <w:uiPriority w:val="0"/>
    <w:pPr>
      <w:pBdr>
        <w:top w:val="single" w:color="auto" w:sz="12" w:space="3"/>
        <w:bottom w:val="single" w:color="auto" w:sz="12" w:space="3"/>
      </w:pBdr>
      <w:spacing w:line="360" w:lineRule="auto"/>
    </w:pPr>
    <w:rPr>
      <w:sz w:val="24"/>
    </w:rPr>
  </w:style>
  <w:style w:type="paragraph" w:customStyle="1" w:styleId="209">
    <w:name w:val="文本1"/>
    <w:basedOn w:val="1"/>
    <w:qFormat/>
    <w:uiPriority w:val="0"/>
    <w:pPr>
      <w:adjustRightInd w:val="0"/>
      <w:spacing w:line="312" w:lineRule="atLeast"/>
      <w:jc w:val="center"/>
      <w:textAlignment w:val="baseline"/>
    </w:pPr>
    <w:rPr>
      <w:kern w:val="0"/>
      <w:sz w:val="18"/>
    </w:rPr>
  </w:style>
  <w:style w:type="paragraph" w:customStyle="1" w:styleId="210">
    <w:name w:val="Table Text"/>
    <w:qFormat/>
    <w:uiPriority w:val="0"/>
    <w:pPr>
      <w:snapToGrid w:val="0"/>
      <w:spacing w:before="80" w:after="80"/>
    </w:pPr>
    <w:rPr>
      <w:rFonts w:ascii="Arial" w:hAnsi="Arial" w:eastAsia="宋体" w:cs="Times New Roman"/>
      <w:kern w:val="2"/>
      <w:sz w:val="18"/>
      <w:lang w:val="en-US" w:eastAsia="zh-CN" w:bidi="ar-SA"/>
    </w:rPr>
  </w:style>
  <w:style w:type="paragraph" w:customStyle="1" w:styleId="211">
    <w:name w:val="文本框样式1"/>
    <w:basedOn w:val="1"/>
    <w:qFormat/>
    <w:uiPriority w:val="0"/>
    <w:pPr>
      <w:adjustRightInd w:val="0"/>
      <w:snapToGrid w:val="0"/>
      <w:spacing w:before="60" w:beforeLines="0" w:beforeAutospacing="0" w:line="180" w:lineRule="exact"/>
      <w:jc w:val="center"/>
    </w:pPr>
    <w:rPr>
      <w:sz w:val="21"/>
    </w:rPr>
  </w:style>
  <w:style w:type="paragraph" w:customStyle="1" w:styleId="212">
    <w:name w:val="AA Numbering"/>
    <w:basedOn w:val="1"/>
    <w:qFormat/>
    <w:uiPriority w:val="0"/>
    <w:pPr>
      <w:widowControl/>
      <w:tabs>
        <w:tab w:val="left" w:pos="1134"/>
        <w:tab w:val="left" w:pos="1280"/>
      </w:tabs>
      <w:adjustRightInd w:val="0"/>
      <w:snapToGrid w:val="0"/>
      <w:spacing w:line="280" w:lineRule="atLeast"/>
      <w:jc w:val="left"/>
    </w:pPr>
    <w:rPr>
      <w:rFonts w:eastAsia="PMingLiU"/>
      <w:kern w:val="0"/>
      <w:sz w:val="24"/>
      <w:lang w:eastAsia="zh-TW"/>
    </w:rPr>
  </w:style>
  <w:style w:type="paragraph" w:customStyle="1" w:styleId="213">
    <w:name w:val="样式1xz"/>
    <w:basedOn w:val="1"/>
    <w:qFormat/>
    <w:uiPriority w:val="0"/>
    <w:pPr>
      <w:tabs>
        <w:tab w:val="left" w:pos="1050"/>
        <w:tab w:val="right" w:leader="dot" w:pos="8296"/>
      </w:tabs>
    </w:pPr>
    <w:rPr>
      <w:caps/>
      <w:spacing w:val="20"/>
      <w:sz w:val="24"/>
    </w:rPr>
  </w:style>
  <w:style w:type="paragraph" w:customStyle="1" w:styleId="214">
    <w:name w:val="IN Feature"/>
    <w:next w:val="169"/>
    <w:qFormat/>
    <w:uiPriority w:val="0"/>
    <w:pPr>
      <w:keepNext/>
      <w:keepLines/>
      <w:spacing w:before="240" w:after="240"/>
      <w:outlineLvl w:val="7"/>
    </w:pPr>
    <w:rPr>
      <w:rFonts w:ascii="Arial" w:hAnsi="Arial" w:eastAsia="黑体" w:cs="Times New Roman"/>
      <w:sz w:val="21"/>
      <w:lang w:val="en-US" w:eastAsia="zh-CN" w:bidi="ar-SA"/>
    </w:rPr>
  </w:style>
  <w:style w:type="paragraph" w:customStyle="1" w:styleId="215">
    <w:name w:val="首行缩进 1"/>
    <w:basedOn w:val="1"/>
    <w:qFormat/>
    <w:uiPriority w:val="0"/>
    <w:pPr>
      <w:spacing w:after="120" w:afterLines="0" w:afterAutospacing="0" w:line="360" w:lineRule="auto"/>
      <w:ind w:firstLine="200" w:firstLineChars="200"/>
    </w:pPr>
    <w:rPr>
      <w:sz w:val="24"/>
    </w:rPr>
  </w:style>
  <w:style w:type="paragraph" w:customStyle="1" w:styleId="216">
    <w:name w:val="表文字"/>
    <w:qFormat/>
    <w:uiPriority w:val="0"/>
    <w:rPr>
      <w:rFonts w:ascii="宋体" w:hAnsi="Times New Roman" w:eastAsia="宋体" w:cs="Times New Roman"/>
      <w:kern w:val="2"/>
      <w:lang w:val="en-US" w:eastAsia="zh-CN" w:bidi="ar-SA"/>
    </w:rPr>
  </w:style>
  <w:style w:type="character" w:customStyle="1" w:styleId="217">
    <w:name w:val="批注文字 Char1"/>
    <w:qFormat/>
    <w:uiPriority w:val="0"/>
    <w:rPr>
      <w:rFonts w:eastAsia="PMingLiU"/>
      <w:sz w:val="24"/>
      <w:lang w:eastAsia="zh-TW"/>
    </w:rPr>
  </w:style>
  <w:style w:type="paragraph" w:customStyle="1" w:styleId="218">
    <w:name w:val="我的正文2"/>
    <w:basedOn w:val="1"/>
    <w:qFormat/>
    <w:uiPriority w:val="0"/>
    <w:pPr>
      <w:spacing w:line="560" w:lineRule="exact"/>
      <w:ind w:firstLine="200" w:firstLineChars="200"/>
    </w:pPr>
    <w:rPr>
      <w:rFonts w:ascii="仿宋_GB2312" w:eastAsia="仿宋_GB2312"/>
      <w:sz w:val="32"/>
      <w:szCs w:val="32"/>
    </w:rPr>
  </w:style>
  <w:style w:type="paragraph" w:customStyle="1" w:styleId="219">
    <w:name w:val="0正文"/>
    <w:qFormat/>
    <w:uiPriority w:val="0"/>
    <w:pPr>
      <w:widowControl w:val="0"/>
      <w:spacing w:line="360" w:lineRule="auto"/>
      <w:ind w:firstLine="720" w:firstLineChars="200"/>
    </w:pPr>
    <w:rPr>
      <w:rFonts w:ascii="Times New Roman" w:hAnsi="Times New Roman" w:eastAsia="宋体" w:cs="Times New Roman"/>
      <w:sz w:val="24"/>
      <w:szCs w:val="22"/>
      <w:lang w:val="en-US" w:eastAsia="zh-CN" w:bidi="ar-SA"/>
    </w:rPr>
  </w:style>
  <w:style w:type="character" w:customStyle="1" w:styleId="220">
    <w:name w:val="content-right_8zs40"/>
    <w:qFormat/>
    <w:uiPriority w:val="0"/>
  </w:style>
  <w:style w:type="paragraph" w:customStyle="1" w:styleId="221">
    <w:name w:val="p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22">
    <w:name w:val="_正文段落"/>
    <w:basedOn w:val="1"/>
    <w:qFormat/>
    <w:uiPriority w:val="0"/>
    <w:pPr>
      <w:spacing w:line="360" w:lineRule="auto"/>
    </w:pPr>
    <w:rPr>
      <w:rFonts w:eastAsia="仿宋_GB2312"/>
      <w:sz w:val="28"/>
    </w:rPr>
  </w:style>
  <w:style w:type="paragraph" w:customStyle="1" w:styleId="223">
    <w:name w:val="样式"/>
    <w:qFormat/>
    <w:uiPriority w:val="0"/>
    <w:pPr>
      <w:widowControl w:val="0"/>
      <w:autoSpaceDE w:val="0"/>
      <w:autoSpaceDN w:val="0"/>
      <w:adjustRightInd w:val="0"/>
    </w:pPr>
    <w:rPr>
      <w:rFonts w:ascii="宋体" w:hAnsi="宋体" w:eastAsia="宋体" w:cs="宋体"/>
      <w:sz w:val="24"/>
      <w:szCs w:val="24"/>
      <w:lang w:val="en-US" w:eastAsia="zh-CN" w:bidi="ar-SA"/>
    </w:rPr>
  </w:style>
  <w:style w:type="character" w:customStyle="1" w:styleId="224">
    <w:name w:val="font121"/>
    <w:qFormat/>
    <w:uiPriority w:val="0"/>
    <w:rPr>
      <w:rFonts w:hint="eastAsia" w:ascii="宋体" w:hAnsi="宋体" w:eastAsia="宋体" w:cs="宋体"/>
      <w:b/>
      <w:bCs/>
      <w:color w:val="000000"/>
      <w:sz w:val="36"/>
      <w:szCs w:val="36"/>
      <w:u w:val="single"/>
    </w:rPr>
  </w:style>
  <w:style w:type="character" w:customStyle="1" w:styleId="225">
    <w:name w:val="font01"/>
    <w:qFormat/>
    <w:uiPriority w:val="0"/>
    <w:rPr>
      <w:rFonts w:hint="eastAsia" w:ascii="宋体" w:hAnsi="宋体" w:eastAsia="宋体" w:cs="宋体"/>
      <w:b/>
      <w:bCs/>
      <w:color w:val="000000"/>
      <w:sz w:val="36"/>
      <w:szCs w:val="36"/>
      <w:u w:val="none"/>
    </w:rPr>
  </w:style>
  <w:style w:type="character" w:customStyle="1" w:styleId="226">
    <w:name w:val="font131"/>
    <w:qFormat/>
    <w:uiPriority w:val="0"/>
    <w:rPr>
      <w:rFonts w:hint="eastAsia" w:ascii="宋体" w:hAnsi="宋体" w:eastAsia="宋体" w:cs="宋体"/>
      <w:b/>
      <w:bCs/>
      <w:color w:val="000000"/>
      <w:sz w:val="20"/>
      <w:szCs w:val="20"/>
      <w:u w:val="none"/>
    </w:rPr>
  </w:style>
  <w:style w:type="character" w:customStyle="1" w:styleId="227">
    <w:name w:val="font31"/>
    <w:qFormat/>
    <w:uiPriority w:val="0"/>
    <w:rPr>
      <w:rFonts w:hint="default" w:ascii="Times New Roman" w:hAnsi="Times New Roman" w:cs="Times New Roman"/>
      <w:b/>
      <w:bCs/>
      <w:color w:val="000000"/>
      <w:sz w:val="20"/>
      <w:szCs w:val="20"/>
      <w:u w:val="none"/>
    </w:rPr>
  </w:style>
  <w:style w:type="character" w:customStyle="1" w:styleId="228">
    <w:name w:val="font112"/>
    <w:qFormat/>
    <w:uiPriority w:val="0"/>
    <w:rPr>
      <w:rFonts w:hint="eastAsia" w:ascii="宋体" w:hAnsi="宋体" w:eastAsia="宋体" w:cs="宋体"/>
      <w:b/>
      <w:bCs/>
      <w:color w:val="000000"/>
      <w:sz w:val="20"/>
      <w:szCs w:val="20"/>
      <w:u w:val="none"/>
    </w:rPr>
  </w:style>
  <w:style w:type="character" w:customStyle="1" w:styleId="229">
    <w:name w:val="font91"/>
    <w:qFormat/>
    <w:uiPriority w:val="0"/>
    <w:rPr>
      <w:rFonts w:hint="eastAsia" w:ascii="宋体" w:hAnsi="宋体" w:eastAsia="宋体" w:cs="宋体"/>
      <w:b/>
      <w:bCs/>
      <w:color w:val="000000"/>
      <w:sz w:val="24"/>
      <w:szCs w:val="24"/>
      <w:u w:val="none"/>
    </w:rPr>
  </w:style>
  <w:style w:type="character" w:customStyle="1" w:styleId="230">
    <w:name w:val="font101"/>
    <w:qFormat/>
    <w:uiPriority w:val="0"/>
    <w:rPr>
      <w:rFonts w:hint="default" w:ascii="Times New Roman" w:hAnsi="Times New Roman" w:cs="Times New Roman"/>
      <w:b/>
      <w:bCs/>
      <w:color w:val="000000"/>
      <w:sz w:val="24"/>
      <w:szCs w:val="24"/>
      <w:u w:val="none"/>
    </w:rPr>
  </w:style>
  <w:style w:type="paragraph" w:customStyle="1" w:styleId="231">
    <w:name w:val="正文首行缩进两字符"/>
    <w:basedOn w:val="1"/>
    <w:qFormat/>
    <w:uiPriority w:val="0"/>
    <w:pPr>
      <w:spacing w:line="360" w:lineRule="auto"/>
      <w:ind w:firstLine="200" w:firstLineChars="200"/>
    </w:pPr>
  </w:style>
  <w:style w:type="paragraph" w:customStyle="1" w:styleId="232">
    <w:name w:val="表格文字"/>
    <w:basedOn w:val="1"/>
    <w:qFormat/>
    <w:uiPriority w:val="0"/>
    <w:pPr>
      <w:spacing w:before="25" w:after="25" w:line="240" w:lineRule="auto"/>
      <w:ind w:firstLine="0"/>
      <w:jc w:val="left"/>
    </w:pPr>
    <w:rPr>
      <w:bCs/>
      <w:spacing w:val="10"/>
      <w:kern w:val="0"/>
      <w:sz w:val="24"/>
    </w:rPr>
  </w:style>
  <w:style w:type="paragraph" w:styleId="233">
    <w:name w:val="List Paragraph"/>
    <w:basedOn w:val="1"/>
    <w:qFormat/>
    <w:uiPriority w:val="99"/>
    <w:pPr>
      <w:ind w:firstLine="420" w:firstLineChars="200"/>
    </w:pPr>
  </w:style>
  <w:style w:type="character" w:customStyle="1" w:styleId="234">
    <w:name w:val="font21"/>
    <w:basedOn w:val="61"/>
    <w:qFormat/>
    <w:uiPriority w:val="0"/>
    <w:rPr>
      <w:rFonts w:ascii="Calibri" w:hAnsi="Calibri" w:cs="Calibri"/>
      <w:color w:val="000000"/>
      <w:sz w:val="22"/>
      <w:szCs w:val="22"/>
      <w:u w:val="none"/>
    </w:rPr>
  </w:style>
  <w:style w:type="character" w:customStyle="1" w:styleId="235">
    <w:name w:val="font11"/>
    <w:basedOn w:val="6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5" Type="http://schemas.openxmlformats.org/officeDocument/2006/relationships/fontTable" Target="fontTable.xml"/><Relationship Id="rId14" Type="http://schemas.openxmlformats.org/officeDocument/2006/relationships/numbering" Target="numbering.xml"/><Relationship Id="rId13" Type="http://schemas.openxmlformats.org/officeDocument/2006/relationships/theme" Target="theme/theme1.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30</Pages>
  <Words>23</Words>
  <Characters>23</Characters>
  <Lines>101</Lines>
  <Paragraphs>28</Paragraphs>
  <TotalTime>0</TotalTime>
  <ScaleCrop>false</ScaleCrop>
  <LinksUpToDate>false</LinksUpToDate>
  <CharactersWithSpaces>25</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2023-11-27T06:17:00Z</dcterms:created>
  <dc:creator>admin</dc:creator>
  <cp:lastModifiedBy>啦啦。</cp:lastModifiedBy>
  <cp:lastPrinted>2025-05-22T03:57:00Z</cp:lastPrinted>
  <dcterms:modified xsi:type="dcterms:W3CDTF">2026-10-22T02:03:41Z</dcterms:modified>
  <dc:title>货物</dc:title>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82C2EA0F93ED4954BD93411BC017189A_13</vt:lpwstr>
  </property>
  <property fmtid="{D5CDD505-2E9C-101B-9397-08002B2CF9AE}" pid="4" name="KSOTemplateDocerSaveRecord">
    <vt:lpwstr>eyJoZGlkIjoiMWUzYjA0ZmY3MTdkZjY4M2IzMGZkN2YyMjY2MjQ3NWEiLCJ1c2VySWQiOiIzNzExMDc3MzYifQ==</vt:lpwstr>
  </property>
</Properties>
</file>