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50B603">
      <w:pPr>
        <w:adjustRightInd w:val="0"/>
        <w:snapToGrid w:val="0"/>
        <w:spacing w:line="288" w:lineRule="auto"/>
        <w:ind w:firstLine="720" w:firstLineChars="200"/>
        <w:jc w:val="center"/>
        <w:rPr>
          <w:rFonts w:ascii="宋体" w:hAnsi="宋体" w:eastAsia="宋体" w:cs="宋体"/>
          <w:sz w:val="36"/>
          <w:szCs w:val="36"/>
        </w:rPr>
      </w:pPr>
      <w:r>
        <w:rPr>
          <w:rFonts w:hint="eastAsia" w:ascii="宋体" w:hAnsi="宋体" w:eastAsia="宋体" w:cs="宋体"/>
          <w:sz w:val="36"/>
          <w:szCs w:val="36"/>
        </w:rPr>
        <w:t>临床研究管理服务平台等保备案、测评服务推介要求</w:t>
      </w:r>
    </w:p>
    <w:p w14:paraId="58458A22">
      <w:pPr>
        <w:pStyle w:val="3"/>
        <w:adjustRightInd w:val="0"/>
        <w:snapToGrid w:val="0"/>
        <w:spacing w:before="0" w:after="0" w:line="360" w:lineRule="auto"/>
        <w:rPr>
          <w:rFonts w:cs="宋体" w:asciiTheme="minorEastAsia" w:hAnsiTheme="minorEastAsia"/>
          <w:b w:val="0"/>
          <w:bCs/>
          <w:sz w:val="28"/>
          <w:szCs w:val="28"/>
        </w:rPr>
      </w:pPr>
      <w:r>
        <w:rPr>
          <w:rFonts w:hint="eastAsia" w:cs="宋体" w:asciiTheme="minorEastAsia" w:hAnsiTheme="minorEastAsia"/>
          <w:b w:val="0"/>
          <w:bCs/>
          <w:sz w:val="28"/>
          <w:szCs w:val="28"/>
        </w:rPr>
        <w:t>基本情况</w:t>
      </w:r>
    </w:p>
    <w:p w14:paraId="65F13B5D">
      <w:pPr>
        <w:pStyle w:val="4"/>
        <w:adjustRightInd w:val="0"/>
        <w:snapToGrid w:val="0"/>
        <w:spacing w:before="0" w:after="0" w:line="360" w:lineRule="auto"/>
        <w:rPr>
          <w:rFonts w:cs="宋体" w:asciiTheme="minorEastAsia" w:hAnsiTheme="minorEastAsia" w:eastAsiaTheme="minorEastAsia"/>
          <w:b w:val="0"/>
          <w:bCs/>
          <w:sz w:val="28"/>
          <w:szCs w:val="28"/>
        </w:rPr>
      </w:pPr>
      <w:r>
        <w:rPr>
          <w:rFonts w:hint="eastAsia" w:cs="宋体" w:asciiTheme="minorEastAsia" w:hAnsiTheme="minorEastAsia" w:eastAsiaTheme="minorEastAsia"/>
          <w:b w:val="0"/>
          <w:bCs/>
          <w:sz w:val="28"/>
          <w:szCs w:val="28"/>
        </w:rPr>
        <w:t>项目名称</w:t>
      </w:r>
    </w:p>
    <w:p w14:paraId="4B7BA367">
      <w:pPr>
        <w:adjustRightInd w:val="0"/>
        <w:snapToGrid w:val="0"/>
        <w:spacing w:line="360" w:lineRule="auto"/>
        <w:ind w:firstLine="560" w:firstLineChars="200"/>
        <w:rPr>
          <w:rFonts w:cs="宋体" w:asciiTheme="minorEastAsia" w:hAnsiTheme="minorEastAsia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36"/>
        </w:rPr>
        <w:t>重医附二院临床研究管理服务平台等保备案、测评服务</w:t>
      </w:r>
    </w:p>
    <w:p w14:paraId="4391F3B8">
      <w:pPr>
        <w:pStyle w:val="4"/>
        <w:adjustRightInd w:val="0"/>
        <w:snapToGrid w:val="0"/>
        <w:spacing w:before="0" w:after="0" w:line="360" w:lineRule="auto"/>
        <w:rPr>
          <w:rFonts w:cs="宋体" w:asciiTheme="minorEastAsia" w:hAnsiTheme="minorEastAsia" w:eastAsiaTheme="minorEastAsia"/>
          <w:b w:val="0"/>
          <w:bCs/>
          <w:sz w:val="28"/>
          <w:szCs w:val="28"/>
        </w:rPr>
      </w:pPr>
      <w:r>
        <w:rPr>
          <w:rFonts w:hint="eastAsia" w:cs="宋体" w:asciiTheme="minorEastAsia" w:hAnsiTheme="minorEastAsia" w:eastAsiaTheme="minorEastAsia"/>
          <w:b w:val="0"/>
          <w:bCs/>
          <w:sz w:val="28"/>
          <w:szCs w:val="28"/>
        </w:rPr>
        <w:t>项目需求</w:t>
      </w:r>
    </w:p>
    <w:p w14:paraId="20BDED30">
      <w:pPr>
        <w:adjustRightInd w:val="0"/>
        <w:snapToGrid w:val="0"/>
        <w:spacing w:line="360" w:lineRule="auto"/>
        <w:ind w:firstLine="560" w:firstLineChars="200"/>
        <w:rPr>
          <w:rFonts w:cs="宋体" w:asciiTheme="minorEastAsia" w:hAnsiTheme="minorEastAsia"/>
          <w:sz w:val="28"/>
          <w:szCs w:val="28"/>
        </w:rPr>
      </w:pPr>
      <w:r>
        <w:rPr>
          <w:rFonts w:hint="eastAsia" w:cs="宋体" w:asciiTheme="minorEastAsia" w:hAnsiTheme="minorEastAsia"/>
          <w:sz w:val="28"/>
          <w:szCs w:val="28"/>
        </w:rPr>
        <w:t>对甲方临床研究管理服务平台开展等保定级、评审、备案、测评等工作。</w:t>
      </w:r>
    </w:p>
    <w:p w14:paraId="41E941DC">
      <w:pPr>
        <w:pStyle w:val="3"/>
        <w:adjustRightInd w:val="0"/>
        <w:snapToGrid w:val="0"/>
        <w:spacing w:before="0" w:after="0" w:line="360" w:lineRule="auto"/>
        <w:rPr>
          <w:rFonts w:cs="宋体" w:asciiTheme="minorEastAsia" w:hAnsiTheme="minorEastAsia"/>
          <w:b w:val="0"/>
          <w:bCs/>
          <w:sz w:val="28"/>
          <w:szCs w:val="28"/>
        </w:rPr>
      </w:pPr>
      <w:r>
        <w:rPr>
          <w:rFonts w:hint="eastAsia" w:cs="宋体" w:asciiTheme="minorEastAsia" w:hAnsiTheme="minorEastAsia"/>
          <w:b w:val="0"/>
          <w:bCs/>
          <w:sz w:val="28"/>
          <w:szCs w:val="28"/>
        </w:rPr>
        <w:t>资格要求</w:t>
      </w:r>
    </w:p>
    <w:p w14:paraId="2F7B5978">
      <w:pPr>
        <w:pStyle w:val="4"/>
        <w:adjustRightInd w:val="0"/>
        <w:snapToGrid w:val="0"/>
        <w:spacing w:before="0" w:after="0" w:line="360" w:lineRule="auto"/>
        <w:rPr>
          <w:rFonts w:cs="宋体" w:asciiTheme="minorEastAsia" w:hAnsiTheme="minorEastAsia" w:eastAsiaTheme="minorEastAsia"/>
          <w:b w:val="0"/>
          <w:bCs/>
          <w:sz w:val="28"/>
          <w:szCs w:val="28"/>
        </w:rPr>
      </w:pPr>
      <w:r>
        <w:rPr>
          <w:rFonts w:hint="eastAsia" w:cs="宋体" w:asciiTheme="minorEastAsia" w:hAnsiTheme="minorEastAsia" w:eastAsiaTheme="minorEastAsia"/>
          <w:b w:val="0"/>
          <w:bCs/>
          <w:sz w:val="28"/>
          <w:szCs w:val="28"/>
        </w:rPr>
        <w:t>基本资格条件</w:t>
      </w:r>
    </w:p>
    <w:p w14:paraId="101950F8">
      <w:pPr>
        <w:adjustRightInd w:val="0"/>
        <w:snapToGrid w:val="0"/>
        <w:spacing w:line="360" w:lineRule="auto"/>
        <w:ind w:firstLine="560" w:firstLineChars="200"/>
        <w:rPr>
          <w:rFonts w:cs="宋体" w:asciiTheme="minorEastAsia" w:hAnsiTheme="minorEastAsia"/>
          <w:sz w:val="28"/>
          <w:szCs w:val="28"/>
        </w:rPr>
      </w:pPr>
      <w:r>
        <w:rPr>
          <w:rFonts w:hint="eastAsia" w:cs="宋体" w:asciiTheme="minorEastAsia" w:hAnsiTheme="minorEastAsia"/>
          <w:sz w:val="28"/>
          <w:szCs w:val="28"/>
        </w:rPr>
        <w:t>1.具有独立承担民事责任的能力；</w:t>
      </w:r>
    </w:p>
    <w:p w14:paraId="71B4F1E3">
      <w:pPr>
        <w:adjustRightInd w:val="0"/>
        <w:snapToGrid w:val="0"/>
        <w:spacing w:line="360" w:lineRule="auto"/>
        <w:ind w:firstLine="560" w:firstLineChars="200"/>
        <w:rPr>
          <w:rFonts w:cs="宋体" w:asciiTheme="minorEastAsia" w:hAnsiTheme="minorEastAsia"/>
          <w:sz w:val="28"/>
          <w:szCs w:val="28"/>
        </w:rPr>
      </w:pPr>
      <w:r>
        <w:rPr>
          <w:rFonts w:hint="eastAsia" w:cs="宋体" w:asciiTheme="minorEastAsia" w:hAnsiTheme="minorEastAsia"/>
          <w:sz w:val="28"/>
          <w:szCs w:val="28"/>
        </w:rPr>
        <w:t>2.具有良好的商业信誉和健全的财务会计制度；</w:t>
      </w:r>
    </w:p>
    <w:p w14:paraId="5D7BFFC3">
      <w:pPr>
        <w:adjustRightInd w:val="0"/>
        <w:snapToGrid w:val="0"/>
        <w:spacing w:line="360" w:lineRule="auto"/>
        <w:ind w:firstLine="560" w:firstLineChars="200"/>
        <w:rPr>
          <w:rFonts w:cs="宋体" w:asciiTheme="minorEastAsia" w:hAnsiTheme="minorEastAsia"/>
          <w:sz w:val="28"/>
          <w:szCs w:val="28"/>
        </w:rPr>
      </w:pPr>
      <w:r>
        <w:rPr>
          <w:rFonts w:hint="eastAsia" w:cs="宋体" w:asciiTheme="minorEastAsia" w:hAnsiTheme="minorEastAsia"/>
          <w:sz w:val="28"/>
          <w:szCs w:val="28"/>
        </w:rPr>
        <w:t>3.具有履行合同所必需的设备和专业技术能力；</w:t>
      </w:r>
    </w:p>
    <w:p w14:paraId="18022549">
      <w:pPr>
        <w:adjustRightInd w:val="0"/>
        <w:snapToGrid w:val="0"/>
        <w:spacing w:line="360" w:lineRule="auto"/>
        <w:ind w:firstLine="560" w:firstLineChars="200"/>
        <w:rPr>
          <w:rFonts w:cs="宋体" w:asciiTheme="minorEastAsia" w:hAnsiTheme="minorEastAsia"/>
          <w:sz w:val="28"/>
          <w:szCs w:val="28"/>
        </w:rPr>
      </w:pPr>
      <w:r>
        <w:rPr>
          <w:rFonts w:hint="eastAsia" w:cs="宋体" w:asciiTheme="minorEastAsia" w:hAnsiTheme="minorEastAsia"/>
          <w:sz w:val="28"/>
          <w:szCs w:val="28"/>
        </w:rPr>
        <w:t>4.有依法缴纳税收和社会保障资金的良好记录；</w:t>
      </w:r>
    </w:p>
    <w:p w14:paraId="76C80B23">
      <w:pPr>
        <w:adjustRightInd w:val="0"/>
        <w:snapToGrid w:val="0"/>
        <w:spacing w:line="360" w:lineRule="auto"/>
        <w:ind w:firstLine="560" w:firstLineChars="200"/>
        <w:rPr>
          <w:rFonts w:cs="宋体" w:asciiTheme="minorEastAsia" w:hAnsiTheme="minorEastAsia"/>
          <w:sz w:val="28"/>
          <w:szCs w:val="28"/>
        </w:rPr>
      </w:pPr>
      <w:r>
        <w:rPr>
          <w:rFonts w:hint="eastAsia" w:cs="宋体" w:asciiTheme="minorEastAsia" w:hAnsiTheme="minorEastAsia"/>
          <w:sz w:val="28"/>
          <w:szCs w:val="28"/>
        </w:rPr>
        <w:t>5.参加政府采购活动前三年内，在经营活动中没有重大违法记录；</w:t>
      </w:r>
    </w:p>
    <w:p w14:paraId="366B81E6">
      <w:pPr>
        <w:adjustRightInd w:val="0"/>
        <w:snapToGrid w:val="0"/>
        <w:spacing w:line="360" w:lineRule="auto"/>
        <w:ind w:firstLine="560" w:firstLineChars="200"/>
        <w:rPr>
          <w:rFonts w:cs="宋体" w:asciiTheme="minorEastAsia" w:hAnsiTheme="minorEastAsia"/>
          <w:sz w:val="28"/>
          <w:szCs w:val="28"/>
        </w:rPr>
      </w:pPr>
      <w:r>
        <w:rPr>
          <w:rFonts w:hint="eastAsia" w:cs="宋体" w:asciiTheme="minorEastAsia" w:hAnsiTheme="minorEastAsia"/>
          <w:sz w:val="28"/>
          <w:szCs w:val="28"/>
        </w:rPr>
        <w:t>6.法律、行政法规规定的其他条件。</w:t>
      </w:r>
    </w:p>
    <w:p w14:paraId="7A99D034">
      <w:pPr>
        <w:pStyle w:val="4"/>
        <w:adjustRightInd w:val="0"/>
        <w:snapToGrid w:val="0"/>
        <w:spacing w:before="0" w:after="0" w:line="360" w:lineRule="auto"/>
        <w:rPr>
          <w:rFonts w:cs="宋体" w:asciiTheme="minorEastAsia" w:hAnsiTheme="minorEastAsia" w:eastAsiaTheme="minorEastAsia"/>
          <w:b w:val="0"/>
          <w:bCs/>
          <w:sz w:val="28"/>
          <w:szCs w:val="28"/>
        </w:rPr>
      </w:pPr>
      <w:r>
        <w:rPr>
          <w:rFonts w:hint="eastAsia" w:cs="宋体" w:asciiTheme="minorEastAsia" w:hAnsiTheme="minorEastAsia" w:eastAsiaTheme="minorEastAsia"/>
          <w:b w:val="0"/>
          <w:bCs/>
          <w:sz w:val="28"/>
          <w:szCs w:val="28"/>
        </w:rPr>
        <w:t>特定资格条件</w:t>
      </w:r>
      <w:bookmarkStart w:id="0" w:name="_Toc11973"/>
      <w:bookmarkStart w:id="1" w:name="_Toc2529"/>
    </w:p>
    <w:p w14:paraId="04B499A5">
      <w:pPr>
        <w:numPr>
          <w:ilvl w:val="0"/>
          <w:numId w:val="2"/>
        </w:numPr>
        <w:adjustRightInd w:val="0"/>
        <w:snapToGrid w:val="0"/>
        <w:spacing w:line="360" w:lineRule="auto"/>
        <w:ind w:firstLine="560" w:firstLineChars="200"/>
        <w:rPr>
          <w:rFonts w:cs="宋体" w:asciiTheme="minorEastAsia" w:hAnsiTheme="minorEastAsia"/>
          <w:sz w:val="28"/>
          <w:szCs w:val="28"/>
        </w:rPr>
      </w:pPr>
      <w:r>
        <w:rPr>
          <w:rFonts w:hint="eastAsia"/>
          <w:sz w:val="28"/>
          <w:szCs w:val="28"/>
        </w:rPr>
        <w:t>须</w:t>
      </w:r>
      <w:r>
        <w:rPr>
          <w:sz w:val="28"/>
          <w:szCs w:val="28"/>
        </w:rPr>
        <w:t>持有公安部第三研究所颁发</w:t>
      </w:r>
      <w:r>
        <w:rPr>
          <w:rFonts w:hint="eastAsia"/>
          <w:sz w:val="28"/>
          <w:szCs w:val="28"/>
        </w:rPr>
        <w:t>且在</w:t>
      </w:r>
      <w:r>
        <w:rPr>
          <w:sz w:val="28"/>
          <w:szCs w:val="28"/>
        </w:rPr>
        <w:t>有效期内的《网络安全服务认证证书等级保护测评服务认证》（或原《网络安全等级测评与检测评估机构服务认证证书》）</w:t>
      </w:r>
      <w:r>
        <w:rPr>
          <w:rFonts w:hint="eastAsia" w:cs="宋体" w:asciiTheme="minorEastAsia" w:hAnsiTheme="minorEastAsia"/>
          <w:sz w:val="28"/>
          <w:szCs w:val="28"/>
        </w:rPr>
        <w:t>。</w:t>
      </w:r>
    </w:p>
    <w:p w14:paraId="3BEEEE18">
      <w:pPr>
        <w:numPr>
          <w:ilvl w:val="0"/>
          <w:numId w:val="2"/>
        </w:numPr>
        <w:adjustRightInd w:val="0"/>
        <w:snapToGrid w:val="0"/>
        <w:spacing w:line="360" w:lineRule="auto"/>
        <w:ind w:firstLine="560" w:firstLineChars="200"/>
        <w:rPr>
          <w:sz w:val="28"/>
          <w:szCs w:val="28"/>
        </w:rPr>
      </w:pPr>
      <w:r>
        <w:rPr>
          <w:sz w:val="28"/>
          <w:szCs w:val="28"/>
        </w:rPr>
        <w:t>项目负责人须同时满足以下条件：持有网络（或信息）安全等级测评师（高级）证书</w:t>
      </w:r>
      <w:r>
        <w:rPr>
          <w:rFonts w:hint="eastAsia"/>
          <w:sz w:val="28"/>
          <w:szCs w:val="28"/>
        </w:rPr>
        <w:t>且在</w:t>
      </w:r>
      <w:r>
        <w:rPr>
          <w:sz w:val="28"/>
          <w:szCs w:val="28"/>
        </w:rPr>
        <w:t>有效期内；在信息安全行业内从业经历不少于3年</w:t>
      </w:r>
      <w:r>
        <w:rPr>
          <w:rFonts w:hint="eastAsia"/>
          <w:sz w:val="28"/>
          <w:szCs w:val="28"/>
        </w:rPr>
        <w:t>。</w:t>
      </w:r>
    </w:p>
    <w:p w14:paraId="2A0782E3">
      <w:pPr>
        <w:numPr>
          <w:ilvl w:val="0"/>
          <w:numId w:val="2"/>
        </w:numPr>
        <w:adjustRightInd w:val="0"/>
        <w:snapToGrid w:val="0"/>
        <w:spacing w:line="360" w:lineRule="auto"/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渗透测试人员须满足以下条件之一：</w:t>
      </w:r>
      <w:r>
        <w:rPr>
          <w:sz w:val="28"/>
          <w:szCs w:val="28"/>
        </w:rPr>
        <w:t>持有注册信息安全专业人员渗透测试工程师（CISP-PTE）或渗透测试专家（CISP-PTS）证书，且证书在有效期内；持有国家信息安全漏洞共享平台（CNVD）或国家信息安全漏洞库（CNNVD）颁发的原创漏洞证明证书；持有同等能力水平认证（如OSCP等）</w:t>
      </w:r>
      <w:r>
        <w:rPr>
          <w:rFonts w:hint="eastAsia"/>
          <w:sz w:val="28"/>
          <w:szCs w:val="28"/>
        </w:rPr>
        <w:t>。</w:t>
      </w:r>
    </w:p>
    <w:p w14:paraId="4BCDB78F">
      <w:pPr>
        <w:numPr>
          <w:ilvl w:val="0"/>
          <w:numId w:val="2"/>
        </w:numPr>
        <w:adjustRightInd w:val="0"/>
        <w:snapToGrid w:val="0"/>
        <w:spacing w:line="360" w:lineRule="auto"/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除项目负责人外，团队中持有中级及以上等级保护测评师证书的人数</w:t>
      </w:r>
      <w:r>
        <w:rPr>
          <w:sz w:val="28"/>
          <w:szCs w:val="28"/>
        </w:rPr>
        <w:t>不少于2人</w:t>
      </w:r>
      <w:r>
        <w:rPr>
          <w:rFonts w:hint="eastAsia"/>
          <w:sz w:val="28"/>
          <w:szCs w:val="28"/>
        </w:rPr>
        <w:t>；</w:t>
      </w:r>
    </w:p>
    <w:bookmarkEnd w:id="0"/>
    <w:bookmarkEnd w:id="1"/>
    <w:p w14:paraId="1F037C3B">
      <w:pPr>
        <w:pStyle w:val="3"/>
        <w:adjustRightInd w:val="0"/>
        <w:snapToGrid w:val="0"/>
        <w:spacing w:before="0" w:after="0" w:line="360" w:lineRule="auto"/>
        <w:rPr>
          <w:rFonts w:cs="宋体" w:asciiTheme="minorEastAsia" w:hAnsiTheme="minorEastAsia"/>
          <w:b w:val="0"/>
          <w:bCs/>
          <w:sz w:val="28"/>
          <w:szCs w:val="28"/>
        </w:rPr>
      </w:pPr>
      <w:r>
        <w:rPr>
          <w:rFonts w:hint="eastAsia" w:cs="宋体" w:asciiTheme="minorEastAsia" w:hAnsiTheme="minorEastAsia"/>
          <w:b w:val="0"/>
          <w:bCs/>
          <w:sz w:val="28"/>
          <w:szCs w:val="28"/>
        </w:rPr>
        <w:t>现场调研</w:t>
      </w:r>
    </w:p>
    <w:p w14:paraId="12907BD6">
      <w:pPr>
        <w:adjustRightInd w:val="0"/>
        <w:snapToGrid w:val="0"/>
        <w:spacing w:line="360" w:lineRule="auto"/>
        <w:ind w:firstLine="560" w:firstLineChars="200"/>
        <w:rPr>
          <w:rFonts w:cs="宋体" w:asciiTheme="minorEastAsia" w:hAnsiTheme="minorEastAsia"/>
          <w:sz w:val="28"/>
          <w:szCs w:val="28"/>
        </w:rPr>
      </w:pPr>
      <w:r>
        <w:rPr>
          <w:rFonts w:hint="eastAsia" w:cs="宋体" w:asciiTheme="minorEastAsia" w:hAnsiTheme="minorEastAsia"/>
          <w:sz w:val="28"/>
          <w:szCs w:val="28"/>
        </w:rPr>
        <w:t>勘查时间：响应人可于报名截止之前进行现场调研。</w:t>
      </w:r>
    </w:p>
    <w:p w14:paraId="1C62160E">
      <w:pPr>
        <w:adjustRightInd w:val="0"/>
        <w:snapToGrid w:val="0"/>
        <w:spacing w:line="360" w:lineRule="auto"/>
        <w:ind w:firstLine="560" w:firstLineChars="200"/>
        <w:rPr>
          <w:rFonts w:cs="宋体" w:asciiTheme="minorEastAsia" w:hAnsiTheme="minorEastAsia"/>
          <w:sz w:val="28"/>
          <w:szCs w:val="28"/>
        </w:rPr>
      </w:pPr>
      <w:r>
        <w:rPr>
          <w:rFonts w:hint="eastAsia" w:cs="宋体" w:asciiTheme="minorEastAsia" w:hAnsiTheme="minorEastAsia"/>
          <w:sz w:val="28"/>
          <w:szCs w:val="28"/>
        </w:rPr>
        <w:t>联系人：  数智中心      高术华      15520033581</w:t>
      </w:r>
    </w:p>
    <w:p w14:paraId="150BBA25">
      <w:pPr>
        <w:pStyle w:val="3"/>
        <w:adjustRightInd w:val="0"/>
        <w:snapToGrid w:val="0"/>
        <w:spacing w:before="0" w:after="0" w:line="360" w:lineRule="auto"/>
        <w:rPr>
          <w:rFonts w:cs="宋体" w:asciiTheme="minorEastAsia" w:hAnsiTheme="minorEastAsia"/>
          <w:b w:val="0"/>
          <w:bCs/>
          <w:sz w:val="28"/>
          <w:szCs w:val="28"/>
        </w:rPr>
      </w:pPr>
      <w:r>
        <w:rPr>
          <w:rFonts w:hint="eastAsia" w:cs="宋体" w:asciiTheme="minorEastAsia" w:hAnsiTheme="minorEastAsia"/>
          <w:b w:val="0"/>
          <w:bCs/>
          <w:sz w:val="28"/>
          <w:szCs w:val="28"/>
        </w:rPr>
        <w:t>服务要求</w:t>
      </w:r>
    </w:p>
    <w:p w14:paraId="00F78388"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720" w:hanging="360"/>
        <w:textAlignment w:val="auto"/>
        <w:rPr>
          <w:rFonts w:hint="eastAsia" w:asciiTheme="minorHAnsi" w:hAnsiTheme="minorHAnsi" w:eastAsiaTheme="minorEastAsia" w:cstheme="minorBidi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 w:val="0"/>
          <w:bCs w:val="0"/>
          <w:kern w:val="2"/>
          <w:sz w:val="28"/>
          <w:szCs w:val="28"/>
          <w:lang w:val="en-US" w:eastAsia="zh-CN" w:bidi="ar-SA"/>
        </w:rPr>
        <w:t xml:space="preserve">等保备案（第一阶段：定级备案阶段） </w:t>
      </w:r>
    </w:p>
    <w:p w14:paraId="4ED530C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firstLine="560" w:firstLineChars="200"/>
        <w:textAlignment w:val="auto"/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依据网络安全等级保护相关法律法规及标准规范，协助甲方完成临床研究管理服务平台网络安全保护等级定级、组织定级专家评审，编制、归集全套备案资料，向区公安网安部门提交备案材料，直至备案办结并取得正式的网络安全等级保护备案证明。</w:t>
      </w:r>
    </w:p>
    <w:p w14:paraId="7B397014"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720" w:hanging="360"/>
        <w:textAlignment w:val="auto"/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 xml:space="preserve">等保测评（第二阶段：测评实施阶段） </w:t>
      </w:r>
    </w:p>
    <w:p w14:paraId="45E4E88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leftChars="0" w:firstLine="560" w:firstLineChars="200"/>
        <w:textAlignment w:val="auto"/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备案完成后，启动等级保护测评工作，协助甲方开展临床研究管理服务平台等级保护测评，按照国家等级保护标准规范出具测评报告，并将正式版测评报告报送至区公安网安部门。</w:t>
      </w:r>
    </w:p>
    <w:p w14:paraId="76202F2E"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720" w:hanging="360"/>
        <w:textAlignment w:val="auto"/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 xml:space="preserve">咨询服务（贯穿全服务周期） </w:t>
      </w:r>
    </w:p>
    <w:p w14:paraId="2C18A88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leftChars="0" w:firstLine="560" w:firstLineChars="200"/>
        <w:textAlignment w:val="auto"/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推介方为甲方提供服务期内全年网络与数据安全技术咨询服务，包括但不限于：服务期内协助甲方及时掌握最新数据安全政策及标准规范；结合合规要求识别系统数据安全风险隐患，提出可落地优化建议，协助甲方持续完善数据安全防护体系。</w:t>
      </w:r>
    </w:p>
    <w:p w14:paraId="51D4CD26"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720" w:hanging="360"/>
        <w:textAlignment w:val="auto"/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 xml:space="preserve">规范管理及资料移交（收尾阶段） </w:t>
      </w:r>
    </w:p>
    <w:p w14:paraId="3BBF8B9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leftChars="0" w:firstLine="560" w:firstLineChars="200"/>
        <w:textAlignment w:val="auto"/>
        <w:rPr>
          <w:rFonts w:cs="宋体" w:asciiTheme="minorEastAsia" w:hAnsiTheme="minorEastAsia"/>
          <w:sz w:val="28"/>
          <w:szCs w:val="28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推介方应对本项目实施规范化管理，确保服务质量可控、过程文档完整。项目全部服务工作完成后，向甲方移交全套过程文档、原始测评记录、扫描日志、专家评审材料，纸质版、电子版一并交付。</w:t>
      </w:r>
    </w:p>
    <w:p w14:paraId="002BDABF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cs="宋体" w:asciiTheme="minorEastAsia" w:hAnsiTheme="minorEastAsia"/>
          <w:b w:val="0"/>
          <w:bCs/>
          <w:sz w:val="28"/>
          <w:szCs w:val="28"/>
        </w:rPr>
      </w:pPr>
      <w:r>
        <w:rPr>
          <w:rFonts w:hint="eastAsia" w:cs="宋体" w:asciiTheme="minorEastAsia" w:hAnsiTheme="minorEastAsia"/>
          <w:b w:val="0"/>
          <w:bCs/>
          <w:sz w:val="28"/>
          <w:szCs w:val="28"/>
          <w:lang w:val="en-US" w:eastAsia="zh-CN"/>
        </w:rPr>
        <w:t>验收要求</w:t>
      </w:r>
    </w:p>
    <w:p w14:paraId="51D6E9AB">
      <w:pPr>
        <w:pStyle w:val="1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1、备案证明</w:t>
      </w:r>
    </w:p>
    <w:p w14:paraId="3023CDA7">
      <w:pPr>
        <w:pStyle w:val="1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推介方应协助我院完成系统定级、评审、备案，最终取得由区公安网安部门颁发的《网络安全等级保护备案证明》。</w:t>
      </w:r>
    </w:p>
    <w:p w14:paraId="5767645E">
      <w:pPr>
        <w:pStyle w:val="1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20" w:leftChars="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2、测评报告</w:t>
      </w:r>
    </w:p>
    <w:p w14:paraId="26FBEB0D">
      <w:pPr>
        <w:pStyle w:val="1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依据《信息安全技术 网络安全等级保护基本要求》（GB/T 22239-2019）等相关文件，推介方应确保我院被测系统满足等级保护2.0三级要求，最终出具完整的《网络安全等级保护测评报告》（一式肆份）。中标人应协助我院完成测评报告的提交。</w:t>
      </w:r>
    </w:p>
    <w:p w14:paraId="0A79AB90">
      <w:pPr>
        <w:pStyle w:val="1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20" w:leftChars="0"/>
        <w:textAlignment w:val="auto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3、配套报告</w:t>
      </w:r>
    </w:p>
    <w:p w14:paraId="4B96FF33">
      <w:pPr>
        <w:pStyle w:val="1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《备案表》、《定级报告》、《网络安全等级保护定级专家评审报告》、《差距分析与整改方案》、《渗透测试报告》、《漏洞扫描报告》等。</w:t>
      </w:r>
    </w:p>
    <w:p w14:paraId="3813682F">
      <w:pPr>
        <w:pStyle w:val="1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20" w:leftChars="0"/>
        <w:textAlignment w:val="auto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4、安全效果</w:t>
      </w:r>
    </w:p>
    <w:p w14:paraId="4B5E340A">
      <w:pPr>
        <w:pStyle w:val="1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测评工作结束后，应确保我院网络相对安全，符合监管要求。</w:t>
      </w:r>
    </w:p>
    <w:p w14:paraId="70DC909C">
      <w:pPr>
        <w:pStyle w:val="3"/>
        <w:adjustRightInd w:val="0"/>
        <w:snapToGrid w:val="0"/>
        <w:spacing w:before="0" w:after="0" w:line="360" w:lineRule="auto"/>
        <w:rPr>
          <w:rFonts w:cs="宋体" w:asciiTheme="minorEastAsia" w:hAnsiTheme="minorEastAsia"/>
          <w:b w:val="0"/>
          <w:bCs/>
          <w:sz w:val="28"/>
          <w:szCs w:val="28"/>
        </w:rPr>
      </w:pPr>
      <w:r>
        <w:rPr>
          <w:rFonts w:hint="eastAsia" w:cs="宋体" w:asciiTheme="minorEastAsia" w:hAnsiTheme="minorEastAsia"/>
          <w:b w:val="0"/>
          <w:bCs/>
          <w:sz w:val="28"/>
          <w:szCs w:val="28"/>
          <w:lang w:val="en-US" w:eastAsia="zh-CN"/>
        </w:rPr>
        <w:t>售后服务</w:t>
      </w:r>
    </w:p>
    <w:p w14:paraId="78085733">
      <w:pPr>
        <w:pStyle w:val="1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20" w:leftChars="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1、应急响应服务</w:t>
      </w:r>
    </w:p>
    <w:p w14:paraId="6A95FDC7">
      <w:pPr>
        <w:pStyle w:val="1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信息安全专家须担任安全服务团队的组长，同时在服务期内作为我院信息安全顾问，提供7×24小时信息安全咨询服务。推介方须承诺在接到甲方通知后</w:t>
      </w:r>
      <w:r>
        <w:rPr>
          <w:rFonts w:hint="default"/>
          <w:sz w:val="28"/>
          <w:szCs w:val="28"/>
          <w:lang w:val="en-US" w:eastAsia="zh-CN"/>
        </w:rPr>
        <w:t>1小时内抵达现场提供支持。须提供承诺函（加盖投标人公章），并附拟派专家人员名单、简历及联系方式</w:t>
      </w:r>
      <w:r>
        <w:rPr>
          <w:rFonts w:hint="eastAsia"/>
          <w:sz w:val="28"/>
          <w:szCs w:val="28"/>
          <w:lang w:val="en-US" w:eastAsia="zh-CN"/>
        </w:rPr>
        <w:t>。</w:t>
      </w:r>
    </w:p>
    <w:p w14:paraId="5E2AE75C">
      <w:pPr>
        <w:pStyle w:val="1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20" w:leftChars="0"/>
        <w:textAlignment w:val="auto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2、安全培训</w:t>
      </w:r>
    </w:p>
    <w:p w14:paraId="23552217">
      <w:pPr>
        <w:pStyle w:val="1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推介方应根据甲方需求，对数智中心相关人员进行一次网络和数据安全培训。培训内容应覆盖网络安全法律法规、数据安全防护、个人隐私保护、安全意识提升等。</w:t>
      </w:r>
    </w:p>
    <w:p w14:paraId="4A066BC6">
      <w:pPr>
        <w:pStyle w:val="1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80" w:firstLineChars="1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3、服务期间履约管控要求</w:t>
      </w:r>
    </w:p>
    <w:p w14:paraId="26A88CD9">
      <w:pPr>
        <w:pStyle w:val="14"/>
        <w:widowControl/>
        <w:spacing w:beforeAutospacing="0" w:afterAutospacing="0"/>
        <w:ind w:firstLine="560" w:firstLineChars="200"/>
        <w:rPr>
          <w:kern w:val="2"/>
          <w:sz w:val="28"/>
          <w:szCs w:val="28"/>
        </w:rPr>
      </w:pPr>
      <w:r>
        <w:rPr>
          <w:rFonts w:hint="eastAsia"/>
          <w:kern w:val="2"/>
          <w:sz w:val="28"/>
          <w:szCs w:val="28"/>
          <w:lang w:val="en-US" w:eastAsia="zh-CN"/>
        </w:rPr>
        <w:t>1）</w:t>
      </w:r>
      <w:r>
        <w:rPr>
          <w:rFonts w:hint="eastAsia"/>
          <w:kern w:val="2"/>
          <w:sz w:val="28"/>
          <w:szCs w:val="28"/>
        </w:rPr>
        <w:t>若因推介方原因造成甲方发生数据泄露、网络安全事件的，推介方应承担由此产生的全部法律责任，并赔偿甲方遭受的一切损失。</w:t>
      </w:r>
    </w:p>
    <w:p w14:paraId="1CECB696">
      <w:pPr>
        <w:adjustRightInd w:val="0"/>
        <w:snapToGrid w:val="0"/>
        <w:spacing w:line="360" w:lineRule="auto"/>
        <w:ind w:firstLine="560" w:firstLineChars="200"/>
        <w:rPr>
          <w:rFonts w:cs="宋体" w:asciiTheme="minorEastAsia" w:hAnsiTheme="minorEastAsia"/>
          <w:sz w:val="28"/>
          <w:szCs w:val="28"/>
        </w:rPr>
      </w:pPr>
      <w:r>
        <w:rPr>
          <w:rFonts w:hint="eastAsia" w:cs="宋体" w:asciiTheme="minorEastAsia" w:hAnsiTheme="minorEastAsia"/>
          <w:sz w:val="28"/>
          <w:szCs w:val="28"/>
          <w:lang w:val="en-US" w:eastAsia="zh-CN"/>
        </w:rPr>
        <w:t>2）</w:t>
      </w:r>
      <w:r>
        <w:rPr>
          <w:rFonts w:hint="eastAsia" w:cs="宋体" w:asciiTheme="minorEastAsia" w:hAnsiTheme="minorEastAsia"/>
          <w:sz w:val="28"/>
          <w:szCs w:val="28"/>
        </w:rPr>
        <w:t>服务期内推介方测评资质失效、被暂停/撤销、移出测评机构目录，推介方须立即更换具备有效资质的主体承接本项目，承担全部额外成本；逾期无法更换的，甲方有权单方解除合同，推介方退还已收取全部服务费，并按合同总价20%向甲方支付违约金。</w:t>
      </w:r>
    </w:p>
    <w:p w14:paraId="54754F26">
      <w:pPr>
        <w:pStyle w:val="1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eastAsiaTheme="minorEastAsia"/>
          <w:sz w:val="28"/>
          <w:szCs w:val="28"/>
          <w:lang w:val="en-US" w:eastAsia="zh-CN"/>
        </w:rPr>
      </w:pPr>
      <w:r>
        <w:rPr>
          <w:rFonts w:hint="eastAsia" w:cs="宋体" w:asciiTheme="minorEastAsia" w:hAnsiTheme="minorEastAsia"/>
          <w:sz w:val="28"/>
          <w:szCs w:val="28"/>
          <w:lang w:val="en-US" w:eastAsia="zh-CN"/>
        </w:rPr>
        <w:t>3）</w:t>
      </w:r>
      <w:r>
        <w:rPr>
          <w:rFonts w:hint="eastAsia" w:cs="宋体" w:asciiTheme="minorEastAsia" w:hAnsiTheme="minorEastAsia"/>
          <w:sz w:val="28"/>
          <w:szCs w:val="28"/>
        </w:rPr>
        <w:t>推介方人员在现场测评、扫描、配置核查过程中，因操作不当、测试脚本失误、违规扫描，造成甲方业务中断、系统宕机、设备损坏、数据损坏丢失的，由推介方负责免费恢复、修复，承担全部损失</w:t>
      </w:r>
      <w:r>
        <w:rPr>
          <w:rFonts w:hint="eastAsia" w:cs="宋体" w:asciiTheme="minorEastAsia" w:hAnsiTheme="minorEastAsia"/>
          <w:sz w:val="28"/>
          <w:szCs w:val="28"/>
          <w:lang w:eastAsia="zh-CN"/>
        </w:rPr>
        <w:t>。</w:t>
      </w:r>
    </w:p>
    <w:p w14:paraId="561CC183">
      <w:pPr>
        <w:pStyle w:val="3"/>
        <w:adjustRightInd w:val="0"/>
        <w:snapToGrid w:val="0"/>
        <w:spacing w:before="0" w:after="0" w:line="360" w:lineRule="auto"/>
        <w:rPr>
          <w:rFonts w:cs="宋体" w:asciiTheme="minorEastAsia" w:hAnsiTheme="minorEastAsia"/>
          <w:b w:val="0"/>
          <w:bCs/>
          <w:sz w:val="28"/>
          <w:szCs w:val="28"/>
        </w:rPr>
      </w:pPr>
      <w:r>
        <w:rPr>
          <w:rFonts w:hint="eastAsia" w:cs="宋体" w:asciiTheme="minorEastAsia" w:hAnsiTheme="minorEastAsia"/>
          <w:b w:val="0"/>
          <w:bCs/>
          <w:sz w:val="28"/>
          <w:szCs w:val="28"/>
        </w:rPr>
        <w:t>服务时间</w:t>
      </w:r>
    </w:p>
    <w:p w14:paraId="3D982D73">
      <w:pPr>
        <w:adjustRightInd w:val="0"/>
        <w:snapToGrid w:val="0"/>
        <w:spacing w:line="360" w:lineRule="auto"/>
        <w:ind w:firstLine="560" w:firstLineChars="200"/>
        <w:rPr>
          <w:rFonts w:cs="宋体" w:asciiTheme="minorEastAsia" w:hAnsiTheme="minorEastAsia"/>
          <w:sz w:val="28"/>
          <w:szCs w:val="28"/>
        </w:rPr>
      </w:pPr>
      <w:r>
        <w:rPr>
          <w:rFonts w:hint="eastAsia" w:cs="宋体" w:asciiTheme="minorEastAsia" w:hAnsiTheme="minorEastAsia"/>
          <w:sz w:val="28"/>
          <w:szCs w:val="28"/>
        </w:rPr>
        <w:t>自合同签订日开始一年</w:t>
      </w:r>
    </w:p>
    <w:p w14:paraId="0F8981E7">
      <w:pPr>
        <w:pStyle w:val="3"/>
        <w:adjustRightInd w:val="0"/>
        <w:snapToGrid w:val="0"/>
        <w:spacing w:before="0" w:after="0" w:line="360" w:lineRule="auto"/>
        <w:rPr>
          <w:rFonts w:cs="宋体" w:asciiTheme="minorEastAsia" w:hAnsiTheme="minorEastAsia"/>
          <w:b w:val="0"/>
          <w:bCs/>
          <w:sz w:val="28"/>
          <w:szCs w:val="28"/>
        </w:rPr>
      </w:pPr>
      <w:r>
        <w:rPr>
          <w:rFonts w:hint="eastAsia" w:cs="宋体" w:asciiTheme="minorEastAsia" w:hAnsiTheme="minorEastAsia"/>
          <w:b w:val="0"/>
          <w:bCs/>
          <w:sz w:val="28"/>
          <w:szCs w:val="28"/>
        </w:rPr>
        <w:t>报价要求</w:t>
      </w:r>
    </w:p>
    <w:p w14:paraId="1A122694">
      <w:pPr>
        <w:adjustRightInd w:val="0"/>
        <w:snapToGrid w:val="0"/>
        <w:spacing w:line="360" w:lineRule="auto"/>
        <w:ind w:firstLine="560" w:firstLineChars="200"/>
        <w:rPr>
          <w:rFonts w:cs="宋体" w:asciiTheme="minorEastAsia" w:hAnsiTheme="minorEastAsia"/>
          <w:sz w:val="28"/>
          <w:szCs w:val="28"/>
        </w:rPr>
      </w:pPr>
      <w:r>
        <w:rPr>
          <w:rFonts w:hint="eastAsia"/>
          <w:sz w:val="28"/>
          <w:szCs w:val="28"/>
        </w:rPr>
        <w:t>推介方承担备案、测评过程中的一切费用，包括但不限于定级专家费、备案费、测评费、复测费及可能产生的因测评导致的系统修复技术咨询费，甲方不再支付其他任何费用。</w:t>
      </w:r>
    </w:p>
    <w:p w14:paraId="7B8927B4">
      <w:pPr>
        <w:pStyle w:val="3"/>
        <w:adjustRightInd w:val="0"/>
        <w:snapToGrid w:val="0"/>
        <w:spacing w:before="0" w:after="0" w:line="360" w:lineRule="auto"/>
        <w:rPr>
          <w:rFonts w:cs="宋体" w:asciiTheme="minorEastAsia" w:hAnsiTheme="minorEastAsia"/>
          <w:b w:val="0"/>
          <w:bCs/>
          <w:sz w:val="28"/>
          <w:szCs w:val="28"/>
        </w:rPr>
      </w:pPr>
      <w:r>
        <w:rPr>
          <w:rFonts w:hint="eastAsia" w:cs="宋体" w:asciiTheme="minorEastAsia" w:hAnsiTheme="minorEastAsia"/>
          <w:b w:val="0"/>
          <w:bCs/>
          <w:sz w:val="28"/>
          <w:szCs w:val="28"/>
        </w:rPr>
        <w:t>评选方式</w:t>
      </w:r>
    </w:p>
    <w:p w14:paraId="462C73B9">
      <w:pPr>
        <w:adjustRightInd w:val="0"/>
        <w:snapToGrid w:val="0"/>
        <w:spacing w:line="360" w:lineRule="auto"/>
        <w:ind w:firstLine="560" w:firstLineChars="200"/>
        <w:rPr>
          <w:rFonts w:cs="宋体" w:asciiTheme="minorEastAsia" w:hAnsiTheme="minorEastAsia"/>
          <w:sz w:val="28"/>
          <w:szCs w:val="28"/>
        </w:rPr>
      </w:pPr>
      <w:r>
        <w:rPr>
          <w:rFonts w:hint="eastAsia" w:cs="宋体" w:asciiTheme="minorEastAsia" w:hAnsiTheme="minorEastAsia"/>
          <w:sz w:val="28"/>
          <w:szCs w:val="28"/>
        </w:rPr>
        <w:t>待定。</w:t>
      </w:r>
    </w:p>
    <w:p w14:paraId="7EF87447">
      <w:pPr>
        <w:pStyle w:val="3"/>
        <w:adjustRightInd w:val="0"/>
        <w:snapToGrid w:val="0"/>
        <w:spacing w:before="0" w:after="0" w:line="360" w:lineRule="auto"/>
        <w:rPr>
          <w:rFonts w:cs="宋体" w:asciiTheme="minorEastAsia" w:hAnsiTheme="minorEastAsia"/>
          <w:b w:val="0"/>
          <w:bCs/>
          <w:sz w:val="28"/>
          <w:szCs w:val="28"/>
        </w:rPr>
      </w:pPr>
      <w:r>
        <w:rPr>
          <w:rFonts w:hint="eastAsia" w:cs="宋体" w:asciiTheme="minorEastAsia" w:hAnsiTheme="minorEastAsia"/>
          <w:b w:val="0"/>
          <w:bCs/>
          <w:sz w:val="28"/>
          <w:szCs w:val="28"/>
        </w:rPr>
        <w:t>保密及免责条款</w:t>
      </w:r>
    </w:p>
    <w:p w14:paraId="11A4901E">
      <w:pPr>
        <w:pStyle w:val="14"/>
        <w:widowControl/>
        <w:spacing w:beforeAutospacing="0" w:afterAutospacing="0"/>
        <w:ind w:firstLine="560" w:firstLineChars="200"/>
        <w:rPr>
          <w:rFonts w:hint="eastAsia"/>
          <w:kern w:val="2"/>
          <w:sz w:val="28"/>
          <w:szCs w:val="28"/>
        </w:rPr>
      </w:pPr>
      <w:r>
        <w:rPr>
          <w:rFonts w:hint="eastAsia"/>
          <w:kern w:val="2"/>
          <w:sz w:val="28"/>
          <w:szCs w:val="28"/>
          <w:lang w:val="en-US" w:eastAsia="zh-CN"/>
        </w:rPr>
        <w:t>推介方</w:t>
      </w:r>
      <w:r>
        <w:rPr>
          <w:rFonts w:hint="eastAsia"/>
          <w:kern w:val="2"/>
          <w:sz w:val="28"/>
          <w:szCs w:val="28"/>
        </w:rPr>
        <w:t>及其所有参与本项目的项目经理及运维工程师，应当严格遵守《中华人民共和国网络安全法》《中华人民共和国个人信息保护法》及医院内部网络安全、数据保密管理相关制度，对在维保实施、巡检、故障处置过程中接触到的医院网络拓扑、硬件资产信息、业务系统配置、医疗业务数据、患者隐私信息、账号口令、内部文档资料等全部信息承担永久保密责任，不因本服务合同终止而失效。</w:t>
      </w:r>
    </w:p>
    <w:p w14:paraId="7C242695">
      <w:pPr>
        <w:pStyle w:val="14"/>
        <w:widowControl/>
        <w:spacing w:beforeAutospacing="0" w:afterAutospacing="0"/>
        <w:ind w:firstLine="560" w:firstLineChars="200"/>
        <w:rPr>
          <w:kern w:val="2"/>
          <w:sz w:val="28"/>
          <w:szCs w:val="28"/>
        </w:rPr>
      </w:pPr>
      <w:r>
        <w:rPr>
          <w:rFonts w:hint="eastAsia"/>
          <w:kern w:val="2"/>
          <w:sz w:val="28"/>
          <w:szCs w:val="28"/>
          <w:lang w:val="en-US" w:eastAsia="zh-CN"/>
        </w:rPr>
        <w:t>推介方</w:t>
      </w:r>
      <w:r>
        <w:rPr>
          <w:rFonts w:hint="eastAsia"/>
          <w:kern w:val="2"/>
          <w:sz w:val="28"/>
          <w:szCs w:val="28"/>
        </w:rPr>
        <w:t>在后续服务期内，开展服务所使用的硬件、软件等相关工具，不得侵害第三方合法权益，不得导致甲方卷入任何诉讼、仲裁、行政处罚或其他法律纠纷。如因</w:t>
      </w:r>
      <w:r>
        <w:rPr>
          <w:rFonts w:hint="eastAsia"/>
          <w:kern w:val="2"/>
          <w:sz w:val="28"/>
          <w:szCs w:val="28"/>
          <w:lang w:val="en-US" w:eastAsia="zh-CN"/>
        </w:rPr>
        <w:t>推介方</w:t>
      </w:r>
      <w:bookmarkStart w:id="2" w:name="_GoBack"/>
      <w:bookmarkEnd w:id="2"/>
      <w:r>
        <w:rPr>
          <w:rFonts w:hint="eastAsia"/>
          <w:kern w:val="2"/>
          <w:sz w:val="28"/>
          <w:szCs w:val="28"/>
        </w:rPr>
        <w:t>原因造成甲方发生前述法律纠纷的，由此产生的全部法律责任、赔偿款项、维权费用均由投标人承担。</w:t>
      </w:r>
    </w:p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76106C6"/>
    <w:multiLevelType w:val="multilevel"/>
    <w:tmpl w:val="C76106C6"/>
    <w:lvl w:ilvl="0" w:tentative="0">
      <w:start w:val="1"/>
      <w:numFmt w:val="chineseCounting"/>
      <w:pStyle w:val="3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pStyle w:val="4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pStyle w:val="2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pStyle w:val="5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pStyle w:val="6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7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8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9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0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1">
    <w:nsid w:val="4B816033"/>
    <w:multiLevelType w:val="singleLevel"/>
    <w:tmpl w:val="4B816033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7672B9B1"/>
    <w:multiLevelType w:val="multilevel"/>
    <w:tmpl w:val="7672B9B1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19A"/>
    <w:rsid w:val="0004328D"/>
    <w:rsid w:val="00092C22"/>
    <w:rsid w:val="000E5209"/>
    <w:rsid w:val="00170605"/>
    <w:rsid w:val="00212256"/>
    <w:rsid w:val="00250B5C"/>
    <w:rsid w:val="0025106B"/>
    <w:rsid w:val="00256EF7"/>
    <w:rsid w:val="00270B8D"/>
    <w:rsid w:val="00295278"/>
    <w:rsid w:val="002E639D"/>
    <w:rsid w:val="00446C2F"/>
    <w:rsid w:val="004520C6"/>
    <w:rsid w:val="0052119A"/>
    <w:rsid w:val="00541868"/>
    <w:rsid w:val="00554988"/>
    <w:rsid w:val="00561A60"/>
    <w:rsid w:val="005A1703"/>
    <w:rsid w:val="005A2AD5"/>
    <w:rsid w:val="005C3C47"/>
    <w:rsid w:val="00606E07"/>
    <w:rsid w:val="006216D7"/>
    <w:rsid w:val="006229F0"/>
    <w:rsid w:val="00646187"/>
    <w:rsid w:val="006E2B66"/>
    <w:rsid w:val="00767DB5"/>
    <w:rsid w:val="00772717"/>
    <w:rsid w:val="007A65F0"/>
    <w:rsid w:val="00881A5B"/>
    <w:rsid w:val="008A7791"/>
    <w:rsid w:val="008C3548"/>
    <w:rsid w:val="008D2095"/>
    <w:rsid w:val="0090666E"/>
    <w:rsid w:val="009A14F7"/>
    <w:rsid w:val="00A93277"/>
    <w:rsid w:val="00B3237C"/>
    <w:rsid w:val="00B5301B"/>
    <w:rsid w:val="00C52DD8"/>
    <w:rsid w:val="00E94E05"/>
    <w:rsid w:val="00EA3E82"/>
    <w:rsid w:val="00EB7718"/>
    <w:rsid w:val="00F31471"/>
    <w:rsid w:val="01253372"/>
    <w:rsid w:val="01DC7CAC"/>
    <w:rsid w:val="038C5528"/>
    <w:rsid w:val="04074EA4"/>
    <w:rsid w:val="081D3549"/>
    <w:rsid w:val="0B3E2245"/>
    <w:rsid w:val="0C2B423C"/>
    <w:rsid w:val="0D4A4F3E"/>
    <w:rsid w:val="0E9E3FF1"/>
    <w:rsid w:val="0F76123D"/>
    <w:rsid w:val="0FBD2D54"/>
    <w:rsid w:val="0FCD552D"/>
    <w:rsid w:val="100A5DDE"/>
    <w:rsid w:val="139D4565"/>
    <w:rsid w:val="156A1844"/>
    <w:rsid w:val="1A5B5BFF"/>
    <w:rsid w:val="1CD3791F"/>
    <w:rsid w:val="209854B7"/>
    <w:rsid w:val="226855EE"/>
    <w:rsid w:val="24032DD2"/>
    <w:rsid w:val="2585787F"/>
    <w:rsid w:val="26AD77E2"/>
    <w:rsid w:val="29347D47"/>
    <w:rsid w:val="2A680AB5"/>
    <w:rsid w:val="2BD80E5D"/>
    <w:rsid w:val="2CBC1090"/>
    <w:rsid w:val="2D9A10C9"/>
    <w:rsid w:val="2EFE0BDB"/>
    <w:rsid w:val="32911D66"/>
    <w:rsid w:val="39B74954"/>
    <w:rsid w:val="3A3B7EDA"/>
    <w:rsid w:val="3BA2329A"/>
    <w:rsid w:val="3EAA48DB"/>
    <w:rsid w:val="3ED71449"/>
    <w:rsid w:val="42E10B89"/>
    <w:rsid w:val="46DD3374"/>
    <w:rsid w:val="4A834233"/>
    <w:rsid w:val="4AB52E1F"/>
    <w:rsid w:val="4AF34686"/>
    <w:rsid w:val="4D887350"/>
    <w:rsid w:val="51DB5C7E"/>
    <w:rsid w:val="55BD5A2F"/>
    <w:rsid w:val="572E1CA4"/>
    <w:rsid w:val="5A20384C"/>
    <w:rsid w:val="5A317807"/>
    <w:rsid w:val="5E852832"/>
    <w:rsid w:val="5F3D09FC"/>
    <w:rsid w:val="66220D87"/>
    <w:rsid w:val="67423054"/>
    <w:rsid w:val="6DD20AF6"/>
    <w:rsid w:val="70001383"/>
    <w:rsid w:val="71E52F59"/>
    <w:rsid w:val="74485A21"/>
    <w:rsid w:val="791B6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340" w:after="330" w:line="576" w:lineRule="auto"/>
      <w:outlineLvl w:val="0"/>
    </w:pPr>
    <w:rPr>
      <w:b/>
      <w:kern w:val="44"/>
      <w:sz w:val="44"/>
    </w:rPr>
  </w:style>
  <w:style w:type="paragraph" w:styleId="4">
    <w:name w:val="heading 2"/>
    <w:basedOn w:val="1"/>
    <w:next w:val="1"/>
    <w:unhideWhenUsed/>
    <w:qFormat/>
    <w:uiPriority w:val="0"/>
    <w:pPr>
      <w:keepNext/>
      <w:keepLines/>
      <w:numPr>
        <w:ilvl w:val="1"/>
        <w:numId w:val="1"/>
      </w:numPr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2">
    <w:name w:val="heading 3"/>
    <w:basedOn w:val="1"/>
    <w:next w:val="1"/>
    <w:semiHidden/>
    <w:unhideWhenUsed/>
    <w:qFormat/>
    <w:uiPriority w:val="0"/>
    <w:pPr>
      <w:keepNext/>
      <w:keepLines/>
      <w:numPr>
        <w:ilvl w:val="2"/>
        <w:numId w:val="1"/>
      </w:numPr>
      <w:spacing w:before="260" w:after="26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1"/>
      </w:numPr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after="290" w:line="372" w:lineRule="auto"/>
      <w:outlineLvl w:val="4"/>
    </w:pPr>
    <w:rPr>
      <w:b/>
      <w:sz w:val="28"/>
    </w:rPr>
  </w:style>
  <w:style w:type="paragraph" w:styleId="7">
    <w:name w:val="heading 6"/>
    <w:basedOn w:val="1"/>
    <w:next w:val="1"/>
    <w:unhideWhenUsed/>
    <w:qFormat/>
    <w:uiPriority w:val="0"/>
    <w:pPr>
      <w:keepNext/>
      <w:keepLines/>
      <w:numPr>
        <w:ilvl w:val="5"/>
        <w:numId w:val="1"/>
      </w:numPr>
      <w:spacing w:before="240" w:after="64" w:line="317" w:lineRule="auto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after="64" w:line="317" w:lineRule="auto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after="64" w:line="317" w:lineRule="auto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after="64" w:line="317" w:lineRule="auto"/>
      <w:outlineLvl w:val="8"/>
    </w:pPr>
    <w:rPr>
      <w:rFonts w:ascii="Arial" w:hAnsi="Arial" w:eastAsia="黑体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alloon Text"/>
    <w:basedOn w:val="1"/>
    <w:qFormat/>
    <w:uiPriority w:val="0"/>
    <w:rPr>
      <w:sz w:val="18"/>
    </w:rPr>
  </w:style>
  <w:style w:type="paragraph" w:styleId="12">
    <w:name w:val="footer"/>
    <w:basedOn w:val="1"/>
    <w:link w:val="2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2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table" w:styleId="16">
    <w:name w:val="Table Grid"/>
    <w:basedOn w:val="15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Strong"/>
    <w:basedOn w:val="17"/>
    <w:qFormat/>
    <w:uiPriority w:val="0"/>
    <w:rPr>
      <w:b/>
    </w:rPr>
  </w:style>
  <w:style w:type="paragraph" w:styleId="19">
    <w:name w:val="List Paragraph"/>
    <w:basedOn w:val="1"/>
    <w:qFormat/>
    <w:uiPriority w:val="99"/>
    <w:pPr>
      <w:ind w:firstLine="420" w:firstLineChars="200"/>
    </w:pPr>
  </w:style>
  <w:style w:type="character" w:customStyle="1" w:styleId="20">
    <w:name w:val="页眉 字符"/>
    <w:basedOn w:val="17"/>
    <w:link w:val="1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1">
    <w:name w:val="页脚 字符"/>
    <w:basedOn w:val="17"/>
    <w:link w:val="1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2158</Words>
  <Characters>2215</Characters>
  <Lines>11</Lines>
  <Paragraphs>3</Paragraphs>
  <TotalTime>36</TotalTime>
  <ScaleCrop>false</ScaleCrop>
  <LinksUpToDate>false</LinksUpToDate>
  <CharactersWithSpaces>2238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2026-09-15T07:50:00Z</dcterms:created>
  <dc:creator>Administrator</dc:creator>
  <cp:lastModifiedBy>张娟</cp:lastModifiedBy>
  <dcterms:modified xsi:type="dcterms:W3CDTF">2026-10-29T00:42:07Z</dcterms:modified>
  <cp:revision>44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eyJoZGlkIjoiNWY2YjI5NmM4NjcyZTgwOGJhOGNiODM4NTg0ZjVhNTAiLCJ1c2VySWQiOiIxNjE2NzM1NzA0In0=</vt:lpwstr>
  </property>
  <property fmtid="{D5CDD505-2E9C-101B-9397-08002B2CF9AE}" pid="4" name="ICV">
    <vt:lpwstr>56DCFCDE6D014F1F9043EBAE79B3977B_13</vt:lpwstr>
  </property>
</Properties>
</file>