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9ECFF">
      <w:pPr>
        <w:pageBreakBefore w:val="0"/>
        <w:wordWrap/>
        <w:spacing w:before="160" w:after="0"/>
        <w:ind w:left="0" w:right="0"/>
        <w:jc w:val="center"/>
        <w:textAlignment w:val="auto"/>
        <w:rPr>
          <w:rFonts w:hint="eastAsia" w:asciiTheme="minorEastAsia" w:hAnsiTheme="minorEastAsia" w:eastAsiaTheme="minorEastAsia"/>
          <w:b/>
          <w:bCs/>
          <w:sz w:val="44"/>
          <w:szCs w:val="44"/>
        </w:rPr>
      </w:pPr>
      <w:r>
        <w:rPr>
          <w:rFonts w:hint="eastAsia" w:asciiTheme="minorEastAsia" w:hAnsiTheme="minorEastAsia" w:eastAsiaTheme="minorEastAsia"/>
          <w:b/>
          <w:bCs/>
          <w:sz w:val="44"/>
          <w:szCs w:val="44"/>
          <w:lang w:eastAsia="zh-CN"/>
        </w:rPr>
        <w:t>超声科远程会诊平台</w:t>
      </w:r>
      <w:r>
        <w:rPr>
          <w:rFonts w:hint="eastAsia" w:asciiTheme="minorEastAsia" w:hAnsiTheme="minorEastAsia" w:eastAsiaTheme="minorEastAsia"/>
          <w:b/>
          <w:bCs/>
          <w:sz w:val="44"/>
          <w:szCs w:val="44"/>
        </w:rPr>
        <w:t>推介会要求</w:t>
      </w:r>
    </w:p>
    <w:p w14:paraId="6CF0B8E1">
      <w:pPr>
        <w:pageBreakBefore w:val="0"/>
        <w:wordWrap/>
        <w:spacing w:before="160" w:after="0"/>
        <w:ind w:left="0" w:right="0"/>
        <w:jc w:val="left"/>
        <w:textAlignment w:val="auto"/>
        <w:rPr>
          <w:sz w:val="24"/>
        </w:rPr>
      </w:pPr>
      <w:r>
        <w:rPr>
          <w:rFonts w:ascii="宋体" w:hAnsi="宋体" w:eastAsia="宋体" w:cs="宋体"/>
          <w:b/>
          <w:i w:val="0"/>
          <w:spacing w:val="0"/>
          <w:sz w:val="24"/>
        </w:rPr>
        <w:t>一、项目背景与建设目标</w:t>
      </w:r>
    </w:p>
    <w:p w14:paraId="07383BC4">
      <w:pPr>
        <w:pageBreakBefore w:val="0"/>
        <w:wordWrap/>
        <w:spacing w:before="160" w:after="0"/>
        <w:ind w:left="0" w:right="0" w:firstLine="480" w:firstLineChars="200"/>
        <w:jc w:val="left"/>
        <w:textAlignment w:val="auto"/>
        <w:rPr>
          <w:sz w:val="24"/>
        </w:rPr>
      </w:pPr>
      <w:r>
        <w:rPr>
          <w:rFonts w:ascii="宋体" w:hAnsi="宋体" w:eastAsia="宋体" w:cs="宋体"/>
          <w:b w:val="0"/>
          <w:i w:val="0"/>
          <w:spacing w:val="0"/>
          <w:sz w:val="24"/>
        </w:rPr>
        <w:t>为积极响应国家分级诊疗政策，促进优质医疗资源下沉，我院拟牵头建设“超声科远程会诊平台”。本平台旨在以我院为中心，向下辐射基层医疗机构，通过信息化手段打破空间壁垒，实现超声检查的同质化诊断。平台将支持实时音视频会诊、远程出具诊断报告以及基于静态DICOM图像和视频流的离线诊断模式，全面提升超声诊疗水平与效率。</w:t>
      </w:r>
    </w:p>
    <w:p w14:paraId="5AB783EE">
      <w:pPr>
        <w:pageBreakBefore w:val="0"/>
        <w:wordWrap/>
        <w:spacing w:before="160" w:after="0"/>
        <w:ind w:left="0" w:right="0"/>
        <w:jc w:val="left"/>
        <w:textAlignment w:val="auto"/>
        <w:rPr>
          <w:sz w:val="24"/>
        </w:rPr>
      </w:pPr>
      <w:r>
        <w:rPr>
          <w:rFonts w:ascii="宋体" w:hAnsi="宋体" w:eastAsia="宋体" w:cs="宋体"/>
          <w:b/>
          <w:i w:val="0"/>
          <w:spacing w:val="0"/>
          <w:sz w:val="24"/>
        </w:rPr>
        <w:t>二、核心功能需求</w:t>
      </w:r>
    </w:p>
    <w:p w14:paraId="2DEBE99A">
      <w:pPr>
        <w:pageBreakBefore w:val="0"/>
        <w:numPr>
          <w:ilvl w:val="0"/>
          <w:numId w:val="1"/>
        </w:numPr>
        <w:wordWrap/>
        <w:spacing w:before="160" w:after="0"/>
        <w:ind w:left="440" w:right="0" w:hanging="440"/>
        <w:jc w:val="left"/>
        <w:textAlignment w:val="auto"/>
        <w:rPr>
          <w:sz w:val="24"/>
        </w:rPr>
      </w:pPr>
      <w:r>
        <w:rPr>
          <w:rFonts w:ascii="宋体" w:hAnsi="宋体" w:eastAsia="宋体" w:cs="宋体"/>
          <w:b/>
          <w:i w:val="0"/>
          <w:spacing w:val="0"/>
          <w:sz w:val="24"/>
        </w:rPr>
        <w:t>远程实时会诊模块</w:t>
      </w:r>
      <w:r>
        <w:rPr>
          <w:rFonts w:ascii="宋体" w:hAnsi="宋体" w:eastAsia="宋体" w:cs="宋体"/>
          <w:b w:val="0"/>
          <w:i w:val="0"/>
          <w:spacing w:val="0"/>
          <w:sz w:val="24"/>
        </w:rPr>
        <w:t>：支持上下级医院间的高清音视频交互，实现超声探头操作手法、实时超声图像与语音的严格同步。支持多方视频通话、桌面共享及电子白板功能，满足疑难病例的即时指导需求。</w:t>
      </w:r>
    </w:p>
    <w:p w14:paraId="4026AC27">
      <w:pPr>
        <w:pageBreakBefore w:val="0"/>
        <w:numPr>
          <w:ilvl w:val="0"/>
          <w:numId w:val="1"/>
        </w:numPr>
        <w:wordWrap/>
        <w:spacing w:before="160" w:after="0"/>
        <w:ind w:left="440" w:right="0" w:hanging="440"/>
        <w:jc w:val="left"/>
        <w:textAlignment w:val="auto"/>
        <w:rPr>
          <w:sz w:val="24"/>
        </w:rPr>
      </w:pPr>
      <w:r>
        <w:rPr>
          <w:rFonts w:ascii="宋体" w:hAnsi="宋体" w:eastAsia="宋体" w:cs="宋体"/>
          <w:b/>
          <w:i w:val="0"/>
          <w:spacing w:val="0"/>
          <w:sz w:val="24"/>
        </w:rPr>
        <w:t>远程出具报告模块</w:t>
      </w:r>
      <w:r>
        <w:rPr>
          <w:rFonts w:ascii="宋体" w:hAnsi="宋体" w:eastAsia="宋体" w:cs="宋体"/>
          <w:b w:val="0"/>
          <w:i w:val="0"/>
          <w:spacing w:val="0"/>
          <w:sz w:val="24"/>
        </w:rPr>
        <w:t>：基层医院完成检查后，可将数据实时上传至平台。上级专家在线阅片、进行图像测量与标注，并直接在线生成、审核及签发电子诊断报告，报告需支持电子签名并回传至基层系统。</w:t>
      </w:r>
    </w:p>
    <w:p w14:paraId="50C11B57">
      <w:pPr>
        <w:pageBreakBefore w:val="0"/>
        <w:numPr>
          <w:ilvl w:val="0"/>
          <w:numId w:val="1"/>
        </w:numPr>
        <w:wordWrap/>
        <w:spacing w:before="160" w:after="0"/>
        <w:ind w:left="440" w:right="0" w:hanging="440"/>
        <w:jc w:val="left"/>
        <w:textAlignment w:val="auto"/>
      </w:pPr>
      <w:r>
        <w:rPr>
          <w:rFonts w:ascii="宋体" w:hAnsi="宋体" w:eastAsia="宋体" w:cs="宋体"/>
          <w:b/>
          <w:i w:val="0"/>
          <w:spacing w:val="0"/>
          <w:sz w:val="24"/>
        </w:rPr>
        <w:t>离线模式诊断模块</w:t>
      </w:r>
      <w:r>
        <w:rPr>
          <w:rFonts w:ascii="宋体" w:hAnsi="宋体" w:eastAsia="宋体" w:cs="宋体"/>
          <w:b w:val="0"/>
          <w:i w:val="0"/>
          <w:spacing w:val="0"/>
          <w:sz w:val="24"/>
        </w:rPr>
        <w:t>：针对网络条件受限或非紧急病例，支持下级医院上传静态DICOM图像及超声视频流文件。上级专家可利用碎片化时间进行异步阅片与诊断，系统需支持多终端（PC/移动端）离线浏览与报告书写。</w:t>
      </w:r>
    </w:p>
    <w:p w14:paraId="7B5E3D2B">
      <w:pPr>
        <w:pageBreakBefore w:val="0"/>
        <w:numPr>
          <w:ilvl w:val="0"/>
          <w:numId w:val="1"/>
        </w:numPr>
        <w:wordWrap/>
        <w:spacing w:before="160" w:after="0"/>
        <w:ind w:left="440" w:right="0" w:hanging="440"/>
        <w:jc w:val="left"/>
        <w:textAlignment w:val="auto"/>
        <w:rPr>
          <w:sz w:val="24"/>
        </w:rPr>
      </w:pPr>
      <w:r>
        <w:rPr>
          <w:rFonts w:ascii="宋体" w:hAnsi="宋体" w:eastAsia="宋体" w:cs="宋体"/>
          <w:b/>
          <w:i w:val="0"/>
          <w:spacing w:val="0"/>
          <w:sz w:val="24"/>
        </w:rPr>
        <w:t>区域质控与教学模块</w:t>
      </w:r>
      <w:r>
        <w:rPr>
          <w:rFonts w:ascii="宋体" w:hAnsi="宋体" w:eastAsia="宋体" w:cs="宋体"/>
          <w:b w:val="0"/>
          <w:i w:val="0"/>
          <w:spacing w:val="0"/>
          <w:sz w:val="24"/>
        </w:rPr>
        <w:t>：支持对基层超声检查手法进行远程实时质控与事后抽查；提供在线教学培训功能，支持手术直播、典型病例库共享及在线互动答疑。</w:t>
      </w:r>
    </w:p>
    <w:p w14:paraId="170926B4">
      <w:pPr>
        <w:pageBreakBefore w:val="0"/>
        <w:numPr>
          <w:ilvl w:val="0"/>
          <w:numId w:val="1"/>
        </w:numPr>
        <w:wordWrap/>
        <w:spacing w:before="160" w:after="0"/>
        <w:ind w:left="440" w:right="0" w:hanging="440"/>
        <w:jc w:val="left"/>
        <w:textAlignment w:val="auto"/>
        <w:rPr>
          <w:rFonts w:hint="default" w:eastAsiaTheme="minorEastAsia"/>
          <w:lang w:val="en-US" w:eastAsia="zh-CN"/>
        </w:rPr>
      </w:pPr>
      <w:r>
        <w:rPr>
          <w:rFonts w:hint="eastAsia" w:ascii="宋体" w:hAnsi="宋体" w:eastAsia="宋体" w:cs="宋体"/>
          <w:b/>
          <w:i w:val="0"/>
          <w:spacing w:val="0"/>
          <w:sz w:val="24"/>
        </w:rPr>
        <w:t>区域数据驾驶舱模块：</w:t>
      </w:r>
      <w:r>
        <w:rPr>
          <w:rFonts w:hint="eastAsia" w:ascii="宋体" w:hAnsi="宋体" w:eastAsia="宋体" w:cs="宋体"/>
          <w:b w:val="0"/>
          <w:i w:val="0"/>
          <w:spacing w:val="0"/>
          <w:sz w:val="24"/>
        </w:rPr>
        <w:t>建设超声质控与管理驾驶舱，</w:t>
      </w:r>
      <w:r>
        <w:rPr>
          <w:rFonts w:ascii="Segoe UI" w:hAnsi="Segoe UI" w:eastAsia="Segoe UI" w:cs="Segoe UI"/>
          <w:i w:val="0"/>
          <w:iCs w:val="0"/>
          <w:caps w:val="0"/>
          <w:color w:val="060A26"/>
          <w:spacing w:val="0"/>
          <w:sz w:val="24"/>
          <w:szCs w:val="24"/>
          <w:shd w:val="clear" w:fill="FFFFFF"/>
        </w:rPr>
        <w:t>系统需内置多维度的超声远程会诊KPI指标体系，支持实时动态刷新</w:t>
      </w:r>
      <w:r>
        <w:rPr>
          <w:rFonts w:hint="eastAsia" w:ascii="宋体" w:hAnsi="宋体" w:eastAsia="宋体" w:cs="宋体"/>
          <w:b w:val="0"/>
          <w:i w:val="0"/>
          <w:spacing w:val="0"/>
          <w:sz w:val="24"/>
        </w:rPr>
        <w:t>。提供远程会诊量、会诊申请量、会诊完成量、会诊完成率、实时会诊数据、亚专科会诊情况、待会诊排队、各基层机构使用频次、质控合格率等可视化展示</w:t>
      </w:r>
      <w:r>
        <w:rPr>
          <w:rFonts w:hint="eastAsia" w:ascii="宋体" w:hAnsi="宋体" w:eastAsia="宋体" w:cs="宋体"/>
          <w:b w:val="0"/>
          <w:i w:val="0"/>
          <w:spacing w:val="0"/>
          <w:sz w:val="24"/>
          <w:lang w:eastAsia="zh-CN"/>
        </w:rPr>
        <w:t>；</w:t>
      </w:r>
    </w:p>
    <w:p w14:paraId="76A08177">
      <w:pPr>
        <w:pageBreakBefore w:val="0"/>
        <w:numPr>
          <w:ilvl w:val="0"/>
          <w:numId w:val="1"/>
        </w:numPr>
        <w:wordWrap/>
        <w:spacing w:before="160" w:after="0"/>
        <w:ind w:left="440" w:right="0" w:hanging="440"/>
        <w:jc w:val="left"/>
        <w:textAlignment w:val="auto"/>
        <w:rPr>
          <w:rFonts w:hint="default" w:eastAsiaTheme="minorEastAsia"/>
          <w:lang w:val="en-US" w:eastAsia="zh-CN"/>
        </w:rPr>
      </w:pPr>
      <w:r>
        <w:rPr>
          <w:rFonts w:hint="eastAsia" w:ascii="宋体" w:hAnsi="宋体" w:eastAsia="宋体" w:cs="宋体"/>
          <w:b/>
          <w:i w:val="0"/>
          <w:spacing w:val="0"/>
          <w:sz w:val="24"/>
          <w:lang w:eastAsia="zh-CN"/>
        </w:rPr>
        <w:t>报表统计：</w:t>
      </w:r>
      <w:r>
        <w:rPr>
          <w:rFonts w:hint="eastAsia" w:ascii="宋体" w:hAnsi="宋体" w:eastAsia="宋体" w:cs="宋体"/>
          <w:b w:val="0"/>
          <w:i w:val="0"/>
          <w:spacing w:val="0"/>
          <w:sz w:val="24"/>
        </w:rPr>
        <w:t>可多维度统计展示月度/季度/年度会诊总量、专家工作量等，展示纵向及横向对比数据，支持Excel一键导出。自动生成分级诊疗、远程医疗月度/季度/年度等多维度分析台账。</w:t>
      </w:r>
    </w:p>
    <w:p w14:paraId="16196414">
      <w:pPr>
        <w:pageBreakBefore w:val="0"/>
        <w:numPr>
          <w:ilvl w:val="0"/>
          <w:numId w:val="0"/>
        </w:numPr>
        <w:wordWrap/>
        <w:spacing w:before="160" w:after="0"/>
        <w:ind w:leftChars="0" w:right="0" w:rightChars="0"/>
        <w:jc w:val="left"/>
        <w:textAlignment w:val="auto"/>
        <w:rPr>
          <w:rFonts w:hint="default" w:eastAsiaTheme="minorEastAsia"/>
          <w:lang w:val="en-US" w:eastAsia="zh-CN"/>
        </w:rPr>
      </w:pPr>
    </w:p>
    <w:p w14:paraId="3423525E">
      <w:pPr>
        <w:pageBreakBefore w:val="0"/>
        <w:wordWrap/>
        <w:spacing w:before="160" w:after="0"/>
        <w:ind w:left="0" w:right="0"/>
        <w:jc w:val="left"/>
        <w:textAlignment w:val="auto"/>
        <w:rPr>
          <w:sz w:val="24"/>
        </w:rPr>
      </w:pPr>
      <w:r>
        <w:rPr>
          <w:rFonts w:ascii="宋体" w:hAnsi="宋体" w:eastAsia="宋体" w:cs="宋体"/>
          <w:b/>
          <w:i w:val="0"/>
          <w:spacing w:val="0"/>
          <w:sz w:val="24"/>
        </w:rPr>
        <w:t>三、厂商资质与系统要求</w:t>
      </w:r>
    </w:p>
    <w:p w14:paraId="49BA30C5">
      <w:pPr>
        <w:pageBreakBefore w:val="0"/>
        <w:numPr>
          <w:ilvl w:val="0"/>
          <w:numId w:val="2"/>
        </w:numPr>
        <w:wordWrap/>
        <w:spacing w:before="160" w:after="0"/>
        <w:ind w:left="440" w:right="0" w:hanging="440"/>
        <w:jc w:val="left"/>
        <w:textAlignment w:val="auto"/>
        <w:rPr>
          <w:rFonts w:hint="eastAsia" w:ascii="宋体" w:hAnsi="宋体" w:eastAsia="宋体" w:cs="宋体"/>
          <w:b w:val="0"/>
          <w:i w:val="0"/>
          <w:spacing w:val="0"/>
          <w:sz w:val="24"/>
        </w:rPr>
      </w:pPr>
      <w:r>
        <w:rPr>
          <w:rFonts w:hint="eastAsia" w:ascii="宋体" w:hAnsi="宋体" w:eastAsia="宋体" w:cs="宋体"/>
          <w:b/>
          <w:i w:val="0"/>
          <w:spacing w:val="0"/>
          <w:sz w:val="24"/>
        </w:rPr>
        <w:t>医疗器械资质：</w:t>
      </w:r>
      <w:r>
        <w:rPr>
          <w:rFonts w:hint="eastAsia" w:ascii="宋体" w:hAnsi="宋体" w:eastAsia="宋体" w:cs="宋体"/>
          <w:b w:val="0"/>
          <w:i w:val="0"/>
          <w:spacing w:val="0"/>
          <w:sz w:val="24"/>
        </w:rPr>
        <w:t>参选厂商提供的核心产品（如超声远程会诊系统软件等）必须具备国家药品监督管理部门核发的有效《医疗器械注册证》（第二类及以上），严禁使用无注册证或超范围登记的产品。</w:t>
      </w:r>
    </w:p>
    <w:p w14:paraId="320379D8">
      <w:pPr>
        <w:pageBreakBefore w:val="0"/>
        <w:numPr>
          <w:ilvl w:val="0"/>
          <w:numId w:val="2"/>
        </w:numPr>
        <w:wordWrap/>
        <w:spacing w:before="160" w:after="0"/>
        <w:ind w:left="440" w:right="0" w:hanging="440"/>
        <w:jc w:val="left"/>
        <w:textAlignment w:val="auto"/>
        <w:rPr>
          <w:rFonts w:hint="default" w:eastAsia="宋体"/>
          <w:sz w:val="24"/>
          <w:lang w:val="en-US" w:eastAsia="zh-CN"/>
        </w:rPr>
      </w:pPr>
      <w:bookmarkStart w:id="0" w:name="_GoBack"/>
      <w:bookmarkEnd w:id="0"/>
      <w:r>
        <w:rPr>
          <w:rFonts w:hint="eastAsia" w:ascii="宋体" w:hAnsi="宋体" w:eastAsia="宋体" w:cs="宋体"/>
          <w:b/>
          <w:i w:val="0"/>
          <w:spacing w:val="0"/>
          <w:sz w:val="24"/>
        </w:rPr>
        <w:t>数据隐私保护：</w:t>
      </w:r>
      <w:r>
        <w:rPr>
          <w:rFonts w:hint="eastAsia" w:ascii="宋体" w:hAnsi="宋体" w:eastAsia="宋体" w:cs="宋体"/>
          <w:b w:val="0"/>
          <w:i w:val="0"/>
          <w:spacing w:val="0"/>
          <w:sz w:val="24"/>
        </w:rPr>
        <w:t>系统需具备完善的数据加密、访问控制及审计追溯功能，严格遵守《个人信息保护法》及医疗数据安全相关规定，确保患者隐私及核心医疗数据在采集、传输、存储等环节的绝对安全。</w:t>
      </w:r>
    </w:p>
    <w:p w14:paraId="59CFB921">
      <w:pPr>
        <w:pageBreakBefore w:val="0"/>
        <w:numPr>
          <w:ilvl w:val="0"/>
          <w:numId w:val="2"/>
        </w:numPr>
        <w:wordWrap/>
        <w:spacing w:before="160" w:after="0"/>
        <w:ind w:left="440" w:right="0" w:hanging="440"/>
        <w:jc w:val="left"/>
        <w:textAlignment w:val="auto"/>
        <w:rPr>
          <w:sz w:val="24"/>
        </w:rPr>
      </w:pPr>
      <w:r>
        <w:rPr>
          <w:rFonts w:ascii="宋体" w:hAnsi="宋体" w:eastAsia="宋体" w:cs="宋体"/>
          <w:b/>
          <w:i w:val="0"/>
          <w:spacing w:val="0"/>
          <w:sz w:val="24"/>
        </w:rPr>
        <w:t>兼容性与扩展性</w:t>
      </w:r>
      <w:r>
        <w:rPr>
          <w:rFonts w:ascii="宋体" w:hAnsi="宋体" w:eastAsia="宋体" w:cs="宋体"/>
          <w:b w:val="0"/>
          <w:i w:val="0"/>
          <w:spacing w:val="0"/>
          <w:sz w:val="24"/>
        </w:rPr>
        <w:t>：系统需兼容主流超声设备品牌，支持DICOM 3.0国际标准；提供开放接口，能够与我院及基层医院的HIS、PACS系统无缝对接。</w:t>
      </w:r>
    </w:p>
    <w:p w14:paraId="5C902408">
      <w:pPr>
        <w:pageBreakBefore w:val="0"/>
        <w:numPr>
          <w:ilvl w:val="0"/>
          <w:numId w:val="2"/>
        </w:numPr>
        <w:wordWrap/>
        <w:spacing w:before="160" w:after="0"/>
        <w:ind w:left="440" w:right="0" w:hanging="440"/>
        <w:jc w:val="left"/>
        <w:textAlignment w:val="auto"/>
        <w:rPr>
          <w:sz w:val="24"/>
        </w:rPr>
      </w:pPr>
      <w:r>
        <w:rPr>
          <w:rFonts w:ascii="宋体" w:hAnsi="宋体" w:eastAsia="宋体" w:cs="宋体"/>
          <w:b/>
          <w:i w:val="0"/>
          <w:spacing w:val="0"/>
          <w:sz w:val="24"/>
        </w:rPr>
        <w:t>部署与运维</w:t>
      </w:r>
      <w:r>
        <w:rPr>
          <w:rFonts w:ascii="宋体" w:hAnsi="宋体" w:eastAsia="宋体" w:cs="宋体"/>
          <w:b w:val="0"/>
          <w:i w:val="0"/>
          <w:spacing w:val="0"/>
          <w:sz w:val="24"/>
        </w:rPr>
        <w:t>：支持云端或本地化部署，具备完善的远程设备维护与日志获取功能，确保系统7×24小时稳定运行。</w:t>
      </w:r>
    </w:p>
    <w:p w14:paraId="38CA1E48">
      <w:pPr>
        <w:pageBreakBefore w:val="0"/>
        <w:wordWrap/>
        <w:spacing w:before="160" w:after="0"/>
        <w:ind w:left="0" w:right="0"/>
        <w:jc w:val="left"/>
        <w:textAlignment w:val="auto"/>
        <w:rPr>
          <w:sz w:val="24"/>
        </w:rPr>
      </w:pPr>
      <w:r>
        <w:rPr>
          <w:rFonts w:ascii="宋体" w:hAnsi="宋体" w:eastAsia="宋体" w:cs="宋体"/>
          <w:b/>
          <w:i w:val="0"/>
          <w:spacing w:val="0"/>
          <w:sz w:val="24"/>
        </w:rPr>
        <w:t>四、阳光推荐分模块报价要求</w:t>
      </w:r>
    </w:p>
    <w:p w14:paraId="6103A6FF">
      <w:pPr>
        <w:pageBreakBefore w:val="0"/>
        <w:wordWrap/>
        <w:spacing w:before="160" w:after="0"/>
        <w:ind w:left="0" w:right="0" w:firstLine="480" w:firstLineChars="200"/>
        <w:jc w:val="left"/>
        <w:textAlignment w:val="auto"/>
        <w:rPr>
          <w:sz w:val="24"/>
        </w:rPr>
      </w:pPr>
      <w:r>
        <w:rPr>
          <w:rFonts w:ascii="宋体" w:hAnsi="宋体" w:eastAsia="宋体" w:cs="宋体"/>
          <w:b w:val="0"/>
          <w:i w:val="0"/>
          <w:spacing w:val="0"/>
          <w:sz w:val="24"/>
        </w:rPr>
        <w:t>为确保采购流程公开、透明、合规，请参选厂商严格按照以下模块进行独立报价，严禁捆绑销售或隐形收费：</w:t>
      </w:r>
    </w:p>
    <w:tbl>
      <w:tblPr>
        <w:tblStyle w:val="4"/>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380"/>
        <w:gridCol w:w="1380"/>
        <w:gridCol w:w="1380"/>
        <w:gridCol w:w="1380"/>
        <w:gridCol w:w="1380"/>
        <w:gridCol w:w="1380"/>
      </w:tblGrid>
      <w:tr w14:paraId="7292E0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1380" w:type="dxa"/>
          </w:tcPr>
          <w:p w14:paraId="43624504">
            <w:pPr>
              <w:pageBreakBefore w:val="0"/>
              <w:wordWrap/>
              <w:spacing w:before="160" w:after="0"/>
              <w:ind w:left="0" w:right="0"/>
              <w:jc w:val="left"/>
              <w:textAlignment w:val="auto"/>
              <w:rPr>
                <w:sz w:val="24"/>
              </w:rPr>
            </w:pPr>
            <w:r>
              <w:rPr>
                <w:rFonts w:ascii="宋体" w:hAnsi="宋体" w:eastAsia="宋体" w:cs="宋体"/>
                <w:b w:val="0"/>
                <w:i w:val="0"/>
                <w:spacing w:val="0"/>
                <w:sz w:val="24"/>
              </w:rPr>
              <w:t>序号</w:t>
            </w:r>
          </w:p>
        </w:tc>
        <w:tc>
          <w:tcPr>
            <w:tcW w:w="1380" w:type="dxa"/>
          </w:tcPr>
          <w:p w14:paraId="4E395B7B">
            <w:pPr>
              <w:pageBreakBefore w:val="0"/>
              <w:wordWrap/>
              <w:spacing w:before="160" w:after="0"/>
              <w:ind w:left="0" w:right="0"/>
              <w:jc w:val="left"/>
              <w:textAlignment w:val="auto"/>
              <w:rPr>
                <w:sz w:val="24"/>
              </w:rPr>
            </w:pPr>
            <w:r>
              <w:rPr>
                <w:rFonts w:ascii="宋体" w:hAnsi="宋体" w:eastAsia="宋体" w:cs="宋体"/>
                <w:b w:val="0"/>
                <w:i w:val="0"/>
                <w:spacing w:val="0"/>
                <w:sz w:val="24"/>
              </w:rPr>
              <w:t>模块名称</w:t>
            </w:r>
          </w:p>
        </w:tc>
        <w:tc>
          <w:tcPr>
            <w:tcW w:w="1380" w:type="dxa"/>
          </w:tcPr>
          <w:p w14:paraId="4157361C">
            <w:pPr>
              <w:pageBreakBefore w:val="0"/>
              <w:wordWrap/>
              <w:spacing w:before="160" w:after="0"/>
              <w:ind w:left="0" w:right="0"/>
              <w:jc w:val="left"/>
              <w:textAlignment w:val="auto"/>
              <w:rPr>
                <w:sz w:val="24"/>
              </w:rPr>
            </w:pPr>
            <w:r>
              <w:rPr>
                <w:rFonts w:ascii="宋体" w:hAnsi="宋体" w:eastAsia="宋体" w:cs="宋体"/>
                <w:b w:val="0"/>
                <w:i w:val="0"/>
                <w:spacing w:val="0"/>
                <w:sz w:val="24"/>
              </w:rPr>
              <w:t>报价要求及说明</w:t>
            </w:r>
          </w:p>
        </w:tc>
        <w:tc>
          <w:tcPr>
            <w:tcW w:w="1380" w:type="dxa"/>
          </w:tcPr>
          <w:p w14:paraId="22F0A998">
            <w:pPr>
              <w:pageBreakBefore w:val="0"/>
              <w:wordWrap/>
              <w:spacing w:before="160" w:after="0"/>
              <w:ind w:left="0" w:right="0"/>
              <w:jc w:val="left"/>
              <w:textAlignment w:val="auto"/>
              <w:rPr>
                <w:sz w:val="24"/>
              </w:rPr>
            </w:pPr>
            <w:r>
              <w:rPr>
                <w:rFonts w:ascii="宋体" w:hAnsi="宋体" w:eastAsia="宋体" w:cs="宋体"/>
                <w:b w:val="0"/>
                <w:i w:val="0"/>
                <w:spacing w:val="0"/>
                <w:sz w:val="24"/>
              </w:rPr>
              <w:t>单价(元)</w:t>
            </w:r>
          </w:p>
        </w:tc>
        <w:tc>
          <w:tcPr>
            <w:tcW w:w="1380" w:type="dxa"/>
          </w:tcPr>
          <w:p w14:paraId="73B83527">
            <w:pPr>
              <w:pageBreakBefore w:val="0"/>
              <w:wordWrap/>
              <w:spacing w:before="160" w:after="0"/>
              <w:ind w:left="0" w:right="0"/>
              <w:jc w:val="left"/>
              <w:textAlignment w:val="auto"/>
              <w:rPr>
                <w:sz w:val="24"/>
              </w:rPr>
            </w:pPr>
            <w:r>
              <w:rPr>
                <w:rFonts w:ascii="宋体" w:hAnsi="宋体" w:eastAsia="宋体" w:cs="宋体"/>
                <w:b w:val="0"/>
                <w:i w:val="0"/>
                <w:spacing w:val="0"/>
                <w:sz w:val="24"/>
              </w:rPr>
              <w:t>数量</w:t>
            </w:r>
          </w:p>
        </w:tc>
        <w:tc>
          <w:tcPr>
            <w:tcW w:w="1380" w:type="dxa"/>
          </w:tcPr>
          <w:p w14:paraId="5EDAC0F1">
            <w:pPr>
              <w:pageBreakBefore w:val="0"/>
              <w:wordWrap/>
              <w:spacing w:before="160" w:after="0"/>
              <w:ind w:left="0" w:right="0"/>
              <w:jc w:val="left"/>
              <w:textAlignment w:val="auto"/>
              <w:rPr>
                <w:sz w:val="24"/>
              </w:rPr>
            </w:pPr>
            <w:r>
              <w:rPr>
                <w:rFonts w:ascii="宋体" w:hAnsi="宋体" w:eastAsia="宋体" w:cs="宋体"/>
                <w:b w:val="0"/>
                <w:i w:val="0"/>
                <w:spacing w:val="0"/>
                <w:sz w:val="24"/>
              </w:rPr>
              <w:t>总价(元)</w:t>
            </w:r>
          </w:p>
        </w:tc>
      </w:tr>
      <w:tr w14:paraId="481A6C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1380" w:type="dxa"/>
          </w:tcPr>
          <w:p w14:paraId="2ABDF886">
            <w:pPr>
              <w:pageBreakBefore w:val="0"/>
              <w:wordWrap/>
              <w:spacing w:before="160" w:after="0"/>
              <w:ind w:left="0" w:right="0"/>
              <w:jc w:val="left"/>
              <w:textAlignment w:val="auto"/>
              <w:rPr>
                <w:sz w:val="24"/>
              </w:rPr>
            </w:pPr>
            <w:r>
              <w:rPr>
                <w:rFonts w:ascii="宋体" w:hAnsi="宋体" w:eastAsia="宋体" w:cs="宋体"/>
                <w:b w:val="0"/>
                <w:i w:val="0"/>
                <w:spacing w:val="0"/>
                <w:sz w:val="24"/>
              </w:rPr>
              <w:t>1</w:t>
            </w:r>
          </w:p>
        </w:tc>
        <w:tc>
          <w:tcPr>
            <w:tcW w:w="1380" w:type="dxa"/>
          </w:tcPr>
          <w:p w14:paraId="4E678B79">
            <w:pPr>
              <w:pageBreakBefore w:val="0"/>
              <w:wordWrap/>
              <w:spacing w:before="160" w:after="0"/>
              <w:ind w:left="0" w:right="0"/>
              <w:jc w:val="left"/>
              <w:textAlignment w:val="auto"/>
              <w:rPr>
                <w:sz w:val="24"/>
              </w:rPr>
            </w:pPr>
            <w:r>
              <w:rPr>
                <w:rFonts w:ascii="宋体" w:hAnsi="宋体" w:eastAsia="宋体" w:cs="宋体"/>
                <w:b w:val="0"/>
                <w:i w:val="0"/>
                <w:spacing w:val="0"/>
                <w:sz w:val="24"/>
              </w:rPr>
              <w:t>基础平台软件</w:t>
            </w:r>
          </w:p>
        </w:tc>
        <w:tc>
          <w:tcPr>
            <w:tcW w:w="1380" w:type="dxa"/>
          </w:tcPr>
          <w:p w14:paraId="1198C7DE">
            <w:pPr>
              <w:pageBreakBefore w:val="0"/>
              <w:wordWrap/>
              <w:spacing w:before="160" w:after="0"/>
              <w:ind w:left="0" w:right="0"/>
              <w:jc w:val="left"/>
              <w:textAlignment w:val="auto"/>
              <w:rPr>
                <w:sz w:val="24"/>
              </w:rPr>
            </w:pPr>
            <w:r>
              <w:rPr>
                <w:rFonts w:ascii="宋体" w:hAnsi="宋体" w:eastAsia="宋体" w:cs="宋体"/>
                <w:b w:val="0"/>
                <w:i w:val="0"/>
                <w:spacing w:val="0"/>
                <w:sz w:val="24"/>
              </w:rPr>
              <w:t>包含远程会诊、离线诊断、报告管理</w:t>
            </w:r>
            <w:r>
              <w:rPr>
                <w:rFonts w:hint="eastAsia" w:ascii="宋体" w:hAnsi="宋体" w:eastAsia="宋体" w:cs="宋体"/>
                <w:b w:val="0"/>
                <w:i w:val="0"/>
                <w:spacing w:val="0"/>
                <w:sz w:val="24"/>
                <w:lang w:eastAsia="zh-CN"/>
              </w:rPr>
              <w:t>、图像管理</w:t>
            </w:r>
            <w:r>
              <w:rPr>
                <w:rFonts w:ascii="宋体" w:hAnsi="宋体" w:eastAsia="宋体" w:cs="宋体"/>
                <w:b w:val="0"/>
                <w:i w:val="0"/>
                <w:spacing w:val="0"/>
                <w:sz w:val="24"/>
              </w:rPr>
              <w:t>等软件模块</w:t>
            </w:r>
          </w:p>
        </w:tc>
        <w:tc>
          <w:tcPr>
            <w:tcW w:w="1380" w:type="dxa"/>
          </w:tcPr>
          <w:p w14:paraId="718A9C9A">
            <w:pPr>
              <w:pageBreakBefore w:val="0"/>
              <w:wordWrap/>
              <w:spacing w:before="160" w:after="0"/>
              <w:ind w:left="0" w:right="0"/>
              <w:jc w:val="left"/>
              <w:textAlignment w:val="auto"/>
            </w:pPr>
          </w:p>
        </w:tc>
        <w:tc>
          <w:tcPr>
            <w:tcW w:w="1380" w:type="dxa"/>
          </w:tcPr>
          <w:p w14:paraId="7AEAADC3">
            <w:pPr>
              <w:pageBreakBefore w:val="0"/>
              <w:wordWrap/>
              <w:spacing w:before="160" w:after="0"/>
              <w:ind w:left="0" w:right="0"/>
              <w:jc w:val="left"/>
              <w:textAlignment w:val="auto"/>
              <w:rPr>
                <w:sz w:val="24"/>
              </w:rPr>
            </w:pPr>
            <w:r>
              <w:rPr>
                <w:rFonts w:ascii="宋体" w:hAnsi="宋体" w:eastAsia="宋体" w:cs="宋体"/>
                <w:b w:val="0"/>
                <w:i w:val="0"/>
                <w:spacing w:val="0"/>
                <w:sz w:val="24"/>
              </w:rPr>
              <w:t>1项</w:t>
            </w:r>
          </w:p>
        </w:tc>
        <w:tc>
          <w:tcPr>
            <w:tcW w:w="1380" w:type="dxa"/>
          </w:tcPr>
          <w:p w14:paraId="5EEE1A90">
            <w:pPr>
              <w:pageBreakBefore w:val="0"/>
              <w:wordWrap/>
              <w:spacing w:before="160" w:after="0"/>
              <w:ind w:left="0" w:right="0"/>
              <w:jc w:val="left"/>
              <w:textAlignment w:val="auto"/>
            </w:pPr>
          </w:p>
        </w:tc>
      </w:tr>
      <w:tr w14:paraId="6D3F09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1380" w:type="dxa"/>
          </w:tcPr>
          <w:p w14:paraId="65D4C069">
            <w:pPr>
              <w:pageBreakBefore w:val="0"/>
              <w:wordWrap/>
              <w:spacing w:before="160" w:after="0"/>
              <w:ind w:left="0" w:right="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2</w:t>
            </w:r>
          </w:p>
        </w:tc>
        <w:tc>
          <w:tcPr>
            <w:tcW w:w="1380" w:type="dxa"/>
          </w:tcPr>
          <w:p w14:paraId="376127CA">
            <w:pPr>
              <w:pageBreakBefore w:val="0"/>
              <w:wordWrap/>
              <w:spacing w:before="160" w:after="0"/>
              <w:ind w:left="0" w:right="0"/>
              <w:jc w:val="left"/>
              <w:textAlignment w:val="auto"/>
              <w:rPr>
                <w:rFonts w:ascii="宋体" w:hAnsi="宋体" w:eastAsia="宋体" w:cs="宋体"/>
                <w:b w:val="0"/>
                <w:i w:val="0"/>
                <w:spacing w:val="0"/>
                <w:sz w:val="24"/>
              </w:rPr>
            </w:pPr>
            <w:r>
              <w:rPr>
                <w:rFonts w:ascii="宋体" w:hAnsi="宋体" w:eastAsia="宋体" w:cs="宋体"/>
                <w:b w:val="0"/>
                <w:i w:val="0"/>
                <w:spacing w:val="0"/>
                <w:sz w:val="24"/>
              </w:rPr>
              <w:t>区域数据驾驶舱</w:t>
            </w:r>
          </w:p>
        </w:tc>
        <w:tc>
          <w:tcPr>
            <w:tcW w:w="1380" w:type="dxa"/>
          </w:tcPr>
          <w:p w14:paraId="1C4F00ED">
            <w:pPr>
              <w:pageBreakBefore w:val="0"/>
              <w:wordWrap/>
              <w:spacing w:before="160" w:after="0"/>
              <w:ind w:left="0" w:right="0"/>
              <w:jc w:val="left"/>
              <w:textAlignment w:val="auto"/>
              <w:rPr>
                <w:rFonts w:ascii="宋体" w:hAnsi="宋体" w:eastAsia="宋体" w:cs="宋体"/>
                <w:b w:val="0"/>
                <w:i w:val="0"/>
                <w:spacing w:val="0"/>
                <w:sz w:val="24"/>
              </w:rPr>
            </w:pPr>
            <w:r>
              <w:rPr>
                <w:rFonts w:ascii="宋体" w:hAnsi="宋体" w:eastAsia="宋体" w:cs="宋体"/>
                <w:b w:val="0"/>
                <w:i w:val="0"/>
                <w:spacing w:val="0"/>
                <w:sz w:val="24"/>
              </w:rPr>
              <w:t>包含数据集成、BI可视化大屏、质控看板、数据分析等驾驶舱专项功能模块</w:t>
            </w:r>
          </w:p>
        </w:tc>
        <w:tc>
          <w:tcPr>
            <w:tcW w:w="1380" w:type="dxa"/>
          </w:tcPr>
          <w:p w14:paraId="41C74576">
            <w:pPr>
              <w:pageBreakBefore w:val="0"/>
              <w:wordWrap/>
              <w:spacing w:before="160" w:after="0"/>
              <w:ind w:left="0" w:right="0"/>
              <w:jc w:val="left"/>
              <w:textAlignment w:val="auto"/>
            </w:pPr>
          </w:p>
        </w:tc>
        <w:tc>
          <w:tcPr>
            <w:tcW w:w="1380" w:type="dxa"/>
          </w:tcPr>
          <w:p w14:paraId="757CDBF0">
            <w:pPr>
              <w:pageBreakBefore w:val="0"/>
              <w:wordWrap/>
              <w:spacing w:before="160" w:after="0"/>
              <w:ind w:left="0" w:right="0"/>
              <w:jc w:val="left"/>
              <w:textAlignment w:val="auto"/>
              <w:rPr>
                <w:rFonts w:ascii="宋体" w:hAnsi="宋体" w:eastAsia="宋体" w:cs="宋体"/>
                <w:b w:val="0"/>
                <w:i w:val="0"/>
                <w:spacing w:val="0"/>
                <w:sz w:val="24"/>
              </w:rPr>
            </w:pPr>
            <w:r>
              <w:rPr>
                <w:rFonts w:ascii="宋体" w:hAnsi="宋体" w:eastAsia="宋体" w:cs="宋体"/>
                <w:b w:val="0"/>
                <w:i w:val="0"/>
                <w:spacing w:val="0"/>
                <w:sz w:val="24"/>
              </w:rPr>
              <w:t>1项</w:t>
            </w:r>
          </w:p>
        </w:tc>
        <w:tc>
          <w:tcPr>
            <w:tcW w:w="1380" w:type="dxa"/>
          </w:tcPr>
          <w:p w14:paraId="3565103D">
            <w:pPr>
              <w:pageBreakBefore w:val="0"/>
              <w:wordWrap/>
              <w:spacing w:before="160" w:after="0"/>
              <w:ind w:left="0" w:right="0"/>
              <w:jc w:val="left"/>
              <w:textAlignment w:val="auto"/>
            </w:pPr>
          </w:p>
        </w:tc>
      </w:tr>
      <w:tr w14:paraId="03EF37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1380" w:type="dxa"/>
          </w:tcPr>
          <w:p w14:paraId="203112C1">
            <w:pPr>
              <w:pageBreakBefore w:val="0"/>
              <w:wordWrap/>
              <w:spacing w:before="160" w:after="0"/>
              <w:ind w:left="0" w:right="0"/>
              <w:jc w:val="left"/>
              <w:textAlignment w:val="auto"/>
              <w:rPr>
                <w:rFonts w:hint="eastAsia" w:eastAsiaTheme="minorEastAsia"/>
                <w:sz w:val="24"/>
                <w:lang w:eastAsia="zh-CN"/>
              </w:rPr>
            </w:pPr>
            <w:r>
              <w:rPr>
                <w:rFonts w:hint="eastAsia" w:ascii="宋体" w:hAnsi="宋体" w:eastAsia="宋体" w:cs="宋体"/>
                <w:b w:val="0"/>
                <w:i w:val="0"/>
                <w:spacing w:val="0"/>
                <w:sz w:val="24"/>
                <w:lang w:val="en-US" w:eastAsia="zh-CN"/>
              </w:rPr>
              <w:t>3</w:t>
            </w:r>
          </w:p>
        </w:tc>
        <w:tc>
          <w:tcPr>
            <w:tcW w:w="1380" w:type="dxa"/>
          </w:tcPr>
          <w:p w14:paraId="777B50B3">
            <w:pPr>
              <w:pageBreakBefore w:val="0"/>
              <w:wordWrap/>
              <w:spacing w:before="160" w:after="0"/>
              <w:ind w:left="0" w:right="0"/>
              <w:jc w:val="left"/>
              <w:textAlignment w:val="auto"/>
              <w:rPr>
                <w:sz w:val="24"/>
              </w:rPr>
            </w:pPr>
            <w:r>
              <w:rPr>
                <w:rFonts w:ascii="宋体" w:hAnsi="宋体" w:eastAsia="宋体" w:cs="宋体"/>
                <w:b w:val="0"/>
                <w:i w:val="0"/>
                <w:spacing w:val="0"/>
                <w:sz w:val="24"/>
              </w:rPr>
              <w:t>硬件终端</w:t>
            </w:r>
          </w:p>
        </w:tc>
        <w:tc>
          <w:tcPr>
            <w:tcW w:w="1380" w:type="dxa"/>
          </w:tcPr>
          <w:p w14:paraId="27768EF0">
            <w:pPr>
              <w:pageBreakBefore w:val="0"/>
              <w:wordWrap/>
              <w:spacing w:before="160" w:after="0"/>
              <w:ind w:left="0" w:right="0"/>
              <w:jc w:val="left"/>
              <w:textAlignment w:val="auto"/>
              <w:rPr>
                <w:rFonts w:hint="eastAsia" w:eastAsia="宋体"/>
                <w:sz w:val="24"/>
                <w:lang w:eastAsia="zh-CN"/>
              </w:rPr>
            </w:pPr>
            <w:r>
              <w:rPr>
                <w:rFonts w:ascii="宋体" w:hAnsi="宋体" w:eastAsia="宋体" w:cs="宋体"/>
                <w:b w:val="0"/>
                <w:i w:val="0"/>
                <w:spacing w:val="0"/>
                <w:sz w:val="24"/>
              </w:rPr>
              <w:t>基层接入端硬件，需注明品牌型号</w:t>
            </w:r>
            <w:r>
              <w:rPr>
                <w:rFonts w:hint="eastAsia" w:ascii="宋体" w:hAnsi="宋体" w:eastAsia="宋体" w:cs="宋体"/>
                <w:b w:val="0"/>
                <w:i w:val="0"/>
                <w:spacing w:val="0"/>
                <w:sz w:val="24"/>
                <w:lang w:eastAsia="zh-CN"/>
              </w:rPr>
              <w:t>和数量</w:t>
            </w:r>
          </w:p>
        </w:tc>
        <w:tc>
          <w:tcPr>
            <w:tcW w:w="1380" w:type="dxa"/>
          </w:tcPr>
          <w:p w14:paraId="772CF7C3">
            <w:pPr>
              <w:pageBreakBefore w:val="0"/>
              <w:wordWrap/>
              <w:spacing w:before="160" w:after="0"/>
              <w:ind w:left="0" w:right="0"/>
              <w:jc w:val="left"/>
              <w:textAlignment w:val="auto"/>
            </w:pPr>
          </w:p>
        </w:tc>
        <w:tc>
          <w:tcPr>
            <w:tcW w:w="1380" w:type="dxa"/>
          </w:tcPr>
          <w:p w14:paraId="38E6170A">
            <w:pPr>
              <w:pageBreakBefore w:val="0"/>
              <w:wordWrap/>
              <w:spacing w:before="160" w:after="0"/>
              <w:ind w:left="0" w:right="0"/>
              <w:jc w:val="left"/>
              <w:textAlignment w:val="auto"/>
              <w:rPr>
                <w:sz w:val="24"/>
              </w:rPr>
            </w:pPr>
            <w:r>
              <w:rPr>
                <w:rFonts w:ascii="宋体" w:hAnsi="宋体" w:eastAsia="宋体" w:cs="宋体"/>
                <w:b w:val="0"/>
                <w:i w:val="0"/>
                <w:spacing w:val="0"/>
                <w:sz w:val="24"/>
              </w:rPr>
              <w:t>__台/套</w:t>
            </w:r>
          </w:p>
        </w:tc>
        <w:tc>
          <w:tcPr>
            <w:tcW w:w="1380" w:type="dxa"/>
          </w:tcPr>
          <w:p w14:paraId="5C0CBBEB">
            <w:pPr>
              <w:pageBreakBefore w:val="0"/>
              <w:wordWrap/>
              <w:spacing w:before="160" w:after="0"/>
              <w:ind w:left="0" w:right="0"/>
              <w:jc w:val="left"/>
              <w:textAlignment w:val="auto"/>
            </w:pPr>
          </w:p>
        </w:tc>
      </w:tr>
      <w:tr w14:paraId="6F8C12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1380" w:type="dxa"/>
          </w:tcPr>
          <w:p w14:paraId="2B475B78">
            <w:pPr>
              <w:pageBreakBefore w:val="0"/>
              <w:wordWrap/>
              <w:spacing w:before="160" w:after="0"/>
              <w:ind w:left="0" w:right="0"/>
              <w:jc w:val="left"/>
              <w:textAlignment w:val="auto"/>
              <w:rPr>
                <w:rFonts w:hint="eastAsia" w:eastAsiaTheme="minorEastAsia"/>
                <w:sz w:val="24"/>
                <w:lang w:eastAsia="zh-CN"/>
              </w:rPr>
            </w:pPr>
            <w:r>
              <w:rPr>
                <w:rFonts w:hint="eastAsia" w:ascii="宋体" w:hAnsi="宋体" w:eastAsia="宋体" w:cs="宋体"/>
                <w:b w:val="0"/>
                <w:i w:val="0"/>
                <w:spacing w:val="0"/>
                <w:sz w:val="24"/>
                <w:lang w:val="en-US" w:eastAsia="zh-CN"/>
              </w:rPr>
              <w:t>4</w:t>
            </w:r>
          </w:p>
        </w:tc>
        <w:tc>
          <w:tcPr>
            <w:tcW w:w="1380" w:type="dxa"/>
          </w:tcPr>
          <w:p w14:paraId="0305AFB4">
            <w:pPr>
              <w:pageBreakBefore w:val="0"/>
              <w:wordWrap/>
              <w:spacing w:before="160" w:after="0"/>
              <w:ind w:left="0" w:right="0"/>
              <w:jc w:val="left"/>
              <w:textAlignment w:val="auto"/>
              <w:rPr>
                <w:sz w:val="24"/>
              </w:rPr>
            </w:pPr>
            <w:r>
              <w:rPr>
                <w:rFonts w:ascii="宋体" w:hAnsi="宋体" w:eastAsia="宋体" w:cs="宋体"/>
                <w:b w:val="0"/>
                <w:i w:val="0"/>
                <w:spacing w:val="0"/>
                <w:sz w:val="24"/>
              </w:rPr>
              <w:t>系统集成与接口费</w:t>
            </w:r>
          </w:p>
        </w:tc>
        <w:tc>
          <w:tcPr>
            <w:tcW w:w="1380" w:type="dxa"/>
          </w:tcPr>
          <w:p w14:paraId="7674BB21">
            <w:pPr>
              <w:pageBreakBefore w:val="0"/>
              <w:wordWrap/>
              <w:spacing w:before="160" w:after="0"/>
              <w:ind w:left="0" w:right="0"/>
              <w:jc w:val="left"/>
              <w:textAlignment w:val="auto"/>
              <w:rPr>
                <w:sz w:val="24"/>
              </w:rPr>
            </w:pPr>
            <w:r>
              <w:rPr>
                <w:rFonts w:ascii="宋体" w:hAnsi="宋体" w:eastAsia="宋体" w:cs="宋体"/>
                <w:b w:val="0"/>
                <w:i w:val="0"/>
                <w:spacing w:val="0"/>
                <w:sz w:val="24"/>
              </w:rPr>
              <w:t>与我院及基层医院现有HIS/PACS系统的对接开发、调试及数据清洗费用</w:t>
            </w:r>
          </w:p>
        </w:tc>
        <w:tc>
          <w:tcPr>
            <w:tcW w:w="1380" w:type="dxa"/>
          </w:tcPr>
          <w:p w14:paraId="2F6C9AC8">
            <w:pPr>
              <w:pageBreakBefore w:val="0"/>
              <w:wordWrap/>
              <w:spacing w:before="160" w:after="0"/>
              <w:ind w:left="0" w:right="0"/>
              <w:jc w:val="left"/>
              <w:textAlignment w:val="auto"/>
            </w:pPr>
          </w:p>
        </w:tc>
        <w:tc>
          <w:tcPr>
            <w:tcW w:w="1380" w:type="dxa"/>
          </w:tcPr>
          <w:p w14:paraId="5A190E9C">
            <w:pPr>
              <w:pageBreakBefore w:val="0"/>
              <w:wordWrap/>
              <w:spacing w:before="160" w:after="0"/>
              <w:ind w:left="0" w:right="0"/>
              <w:jc w:val="left"/>
              <w:textAlignment w:val="auto"/>
              <w:rPr>
                <w:sz w:val="24"/>
              </w:rPr>
            </w:pPr>
            <w:r>
              <w:rPr>
                <w:rFonts w:ascii="宋体" w:hAnsi="宋体" w:eastAsia="宋体" w:cs="宋体"/>
                <w:b w:val="0"/>
                <w:i w:val="0"/>
                <w:spacing w:val="0"/>
                <w:sz w:val="24"/>
              </w:rPr>
              <w:t>__家医院</w:t>
            </w:r>
          </w:p>
        </w:tc>
        <w:tc>
          <w:tcPr>
            <w:tcW w:w="1380" w:type="dxa"/>
          </w:tcPr>
          <w:p w14:paraId="38A8D241">
            <w:pPr>
              <w:pageBreakBefore w:val="0"/>
              <w:wordWrap/>
              <w:spacing w:before="160" w:after="0"/>
              <w:ind w:left="0" w:right="0"/>
              <w:jc w:val="left"/>
              <w:textAlignment w:val="auto"/>
            </w:pPr>
          </w:p>
        </w:tc>
      </w:tr>
      <w:tr w14:paraId="05B689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1380" w:type="dxa"/>
          </w:tcPr>
          <w:p w14:paraId="2B65FDA2">
            <w:pPr>
              <w:pageBreakBefore w:val="0"/>
              <w:wordWrap/>
              <w:spacing w:before="160" w:after="0"/>
              <w:ind w:left="0" w:right="0"/>
              <w:jc w:val="left"/>
              <w:textAlignment w:val="auto"/>
              <w:rPr>
                <w:rFonts w:hint="eastAsia" w:eastAsia="宋体"/>
                <w:sz w:val="24"/>
                <w:lang w:val="en-US" w:eastAsia="zh-CN"/>
              </w:rPr>
            </w:pPr>
            <w:r>
              <w:rPr>
                <w:rFonts w:hint="eastAsia"/>
                <w:sz w:val="24"/>
                <w:lang w:val="en-US" w:eastAsia="zh-CN"/>
              </w:rPr>
              <w:t>5</w:t>
            </w:r>
          </w:p>
        </w:tc>
        <w:tc>
          <w:tcPr>
            <w:tcW w:w="1380" w:type="dxa"/>
          </w:tcPr>
          <w:p w14:paraId="4AA4B01B">
            <w:pPr>
              <w:pageBreakBefore w:val="0"/>
              <w:wordWrap/>
              <w:spacing w:before="160" w:after="0"/>
              <w:ind w:left="0" w:right="0"/>
              <w:jc w:val="left"/>
              <w:textAlignment w:val="auto"/>
              <w:rPr>
                <w:sz w:val="24"/>
              </w:rPr>
            </w:pPr>
            <w:r>
              <w:rPr>
                <w:rFonts w:ascii="宋体" w:hAnsi="宋体" w:eastAsia="宋体" w:cs="宋体"/>
                <w:b w:val="0"/>
                <w:i w:val="0"/>
                <w:spacing w:val="0"/>
                <w:sz w:val="24"/>
              </w:rPr>
              <w:t>实施与培训服务费</w:t>
            </w:r>
          </w:p>
        </w:tc>
        <w:tc>
          <w:tcPr>
            <w:tcW w:w="1380" w:type="dxa"/>
          </w:tcPr>
          <w:p w14:paraId="0A58F2E7">
            <w:pPr>
              <w:pageBreakBefore w:val="0"/>
              <w:wordWrap/>
              <w:spacing w:before="160" w:after="0"/>
              <w:ind w:left="0" w:right="0"/>
              <w:jc w:val="left"/>
              <w:textAlignment w:val="auto"/>
              <w:rPr>
                <w:sz w:val="24"/>
              </w:rPr>
            </w:pPr>
            <w:r>
              <w:rPr>
                <w:rFonts w:ascii="宋体" w:hAnsi="宋体" w:eastAsia="宋体" w:cs="宋体"/>
                <w:b w:val="0"/>
                <w:i w:val="0"/>
                <w:spacing w:val="0"/>
                <w:sz w:val="24"/>
              </w:rPr>
              <w:t>现场安装调试、医护人员操作培训及考核费用</w:t>
            </w:r>
          </w:p>
        </w:tc>
        <w:tc>
          <w:tcPr>
            <w:tcW w:w="1380" w:type="dxa"/>
          </w:tcPr>
          <w:p w14:paraId="5A1AD61D">
            <w:pPr>
              <w:pageBreakBefore w:val="0"/>
              <w:wordWrap/>
              <w:spacing w:before="160" w:after="0"/>
              <w:ind w:left="0" w:right="0"/>
              <w:jc w:val="left"/>
              <w:textAlignment w:val="auto"/>
            </w:pPr>
          </w:p>
        </w:tc>
        <w:tc>
          <w:tcPr>
            <w:tcW w:w="1380" w:type="dxa"/>
          </w:tcPr>
          <w:p w14:paraId="211796A6">
            <w:pPr>
              <w:pageBreakBefore w:val="0"/>
              <w:wordWrap/>
              <w:spacing w:before="160" w:after="0"/>
              <w:ind w:left="0" w:right="0"/>
              <w:jc w:val="left"/>
              <w:textAlignment w:val="auto"/>
              <w:rPr>
                <w:sz w:val="24"/>
              </w:rPr>
            </w:pPr>
            <w:r>
              <w:rPr>
                <w:rFonts w:ascii="宋体" w:hAnsi="宋体" w:eastAsia="宋体" w:cs="宋体"/>
                <w:b w:val="0"/>
                <w:i w:val="0"/>
                <w:spacing w:val="0"/>
                <w:sz w:val="24"/>
              </w:rPr>
              <w:t>1项</w:t>
            </w:r>
          </w:p>
        </w:tc>
        <w:tc>
          <w:tcPr>
            <w:tcW w:w="1380" w:type="dxa"/>
          </w:tcPr>
          <w:p w14:paraId="14D5F6D3">
            <w:pPr>
              <w:pageBreakBefore w:val="0"/>
              <w:wordWrap/>
              <w:spacing w:before="160" w:after="0"/>
              <w:ind w:left="0" w:right="0"/>
              <w:jc w:val="left"/>
              <w:textAlignment w:val="auto"/>
            </w:pPr>
          </w:p>
        </w:tc>
      </w:tr>
      <w:tr w14:paraId="33D016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1380" w:type="dxa"/>
          </w:tcPr>
          <w:p w14:paraId="2D96023C">
            <w:pPr>
              <w:pageBreakBefore w:val="0"/>
              <w:wordWrap/>
              <w:spacing w:before="160" w:after="0"/>
              <w:ind w:left="0" w:right="0"/>
              <w:jc w:val="left"/>
              <w:textAlignment w:val="auto"/>
              <w:rPr>
                <w:rFonts w:hint="eastAsia" w:eastAsia="宋体"/>
                <w:sz w:val="24"/>
                <w:lang w:val="en-US" w:eastAsia="zh-CN"/>
              </w:rPr>
            </w:pPr>
            <w:r>
              <w:rPr>
                <w:rFonts w:hint="eastAsia"/>
                <w:sz w:val="24"/>
                <w:lang w:val="en-US" w:eastAsia="zh-CN"/>
              </w:rPr>
              <w:t>6</w:t>
            </w:r>
          </w:p>
        </w:tc>
        <w:tc>
          <w:tcPr>
            <w:tcW w:w="1380" w:type="dxa"/>
          </w:tcPr>
          <w:p w14:paraId="3C2E47AB">
            <w:pPr>
              <w:pageBreakBefore w:val="0"/>
              <w:wordWrap/>
              <w:spacing w:before="160" w:after="0"/>
              <w:ind w:left="0" w:right="0"/>
              <w:jc w:val="left"/>
              <w:textAlignment w:val="auto"/>
              <w:rPr>
                <w:sz w:val="24"/>
              </w:rPr>
            </w:pPr>
            <w:r>
              <w:rPr>
                <w:rFonts w:ascii="宋体" w:hAnsi="宋体" w:eastAsia="宋体" w:cs="宋体"/>
                <w:b w:val="0"/>
                <w:i w:val="0"/>
                <w:spacing w:val="0"/>
                <w:sz w:val="24"/>
              </w:rPr>
              <w:t>年度维保服务费</w:t>
            </w:r>
          </w:p>
        </w:tc>
        <w:tc>
          <w:tcPr>
            <w:tcW w:w="1380" w:type="dxa"/>
          </w:tcPr>
          <w:p w14:paraId="7A410E6D">
            <w:pPr>
              <w:pageBreakBefore w:val="0"/>
              <w:wordWrap/>
              <w:spacing w:before="160" w:after="0"/>
              <w:ind w:left="0" w:right="0"/>
              <w:jc w:val="left"/>
              <w:textAlignment w:val="auto"/>
              <w:rPr>
                <w:sz w:val="24"/>
              </w:rPr>
            </w:pPr>
            <w:r>
              <w:rPr>
                <w:rFonts w:ascii="宋体" w:hAnsi="宋体" w:eastAsia="宋体" w:cs="宋体"/>
                <w:b w:val="0"/>
                <w:i w:val="0"/>
                <w:spacing w:val="0"/>
                <w:sz w:val="24"/>
              </w:rPr>
              <w:t>质保期外的系统升级、技术支持及硬件维修服务（按年报价）</w:t>
            </w:r>
          </w:p>
        </w:tc>
        <w:tc>
          <w:tcPr>
            <w:tcW w:w="1380" w:type="dxa"/>
          </w:tcPr>
          <w:p w14:paraId="6DC53F74">
            <w:pPr>
              <w:pageBreakBefore w:val="0"/>
              <w:wordWrap/>
              <w:spacing w:before="160" w:after="0"/>
              <w:ind w:left="0" w:right="0"/>
              <w:jc w:val="left"/>
              <w:textAlignment w:val="auto"/>
            </w:pPr>
          </w:p>
        </w:tc>
        <w:tc>
          <w:tcPr>
            <w:tcW w:w="1380" w:type="dxa"/>
          </w:tcPr>
          <w:p w14:paraId="37A46DFD">
            <w:pPr>
              <w:pageBreakBefore w:val="0"/>
              <w:wordWrap/>
              <w:spacing w:before="160" w:after="0"/>
              <w:ind w:left="0" w:right="0"/>
              <w:jc w:val="left"/>
              <w:textAlignment w:val="auto"/>
              <w:rPr>
                <w:sz w:val="24"/>
              </w:rPr>
            </w:pPr>
            <w:r>
              <w:rPr>
                <w:rFonts w:ascii="宋体" w:hAnsi="宋体" w:eastAsia="宋体" w:cs="宋体"/>
                <w:b w:val="0"/>
                <w:i w:val="0"/>
                <w:spacing w:val="0"/>
                <w:sz w:val="24"/>
              </w:rPr>
              <w:t>__年</w:t>
            </w:r>
          </w:p>
        </w:tc>
        <w:tc>
          <w:tcPr>
            <w:tcW w:w="1380" w:type="dxa"/>
          </w:tcPr>
          <w:p w14:paraId="1BB36405">
            <w:pPr>
              <w:pageBreakBefore w:val="0"/>
              <w:wordWrap/>
              <w:spacing w:before="160" w:after="0"/>
              <w:ind w:left="0" w:right="0"/>
              <w:jc w:val="left"/>
              <w:textAlignment w:val="auto"/>
            </w:pPr>
          </w:p>
        </w:tc>
      </w:tr>
      <w:tr w14:paraId="3CA97F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1380" w:type="dxa"/>
          </w:tcPr>
          <w:p w14:paraId="38656E96">
            <w:pPr>
              <w:pageBreakBefore w:val="0"/>
              <w:wordWrap/>
              <w:spacing w:before="160" w:after="0"/>
              <w:ind w:left="0" w:right="0"/>
              <w:jc w:val="left"/>
              <w:textAlignment w:val="auto"/>
              <w:rPr>
                <w:sz w:val="24"/>
              </w:rPr>
            </w:pPr>
            <w:r>
              <w:rPr>
                <w:rFonts w:ascii="宋体" w:hAnsi="宋体" w:eastAsia="宋体" w:cs="宋体"/>
                <w:b/>
                <w:i w:val="0"/>
                <w:spacing w:val="0"/>
                <w:sz w:val="24"/>
              </w:rPr>
              <w:t>合计</w:t>
            </w:r>
          </w:p>
        </w:tc>
        <w:tc>
          <w:tcPr>
            <w:tcW w:w="1380" w:type="dxa"/>
          </w:tcPr>
          <w:p w14:paraId="137D3DAF">
            <w:pPr>
              <w:pageBreakBefore w:val="0"/>
              <w:wordWrap/>
              <w:spacing w:before="160" w:after="0"/>
              <w:ind w:left="0" w:right="0"/>
              <w:jc w:val="left"/>
              <w:textAlignment w:val="auto"/>
              <w:rPr>
                <w:sz w:val="24"/>
              </w:rPr>
            </w:pPr>
            <w:r>
              <w:rPr>
                <w:rFonts w:ascii="宋体" w:hAnsi="宋体" w:eastAsia="宋体" w:cs="宋体"/>
                <w:b/>
                <w:i w:val="0"/>
                <w:spacing w:val="0"/>
                <w:sz w:val="24"/>
              </w:rPr>
              <w:t>项目总报价</w:t>
            </w:r>
          </w:p>
        </w:tc>
        <w:tc>
          <w:tcPr>
            <w:tcW w:w="1380" w:type="dxa"/>
          </w:tcPr>
          <w:p w14:paraId="44710105">
            <w:pPr>
              <w:pageBreakBefore w:val="0"/>
              <w:wordWrap/>
              <w:spacing w:before="160" w:after="0"/>
              <w:ind w:left="0" w:right="0"/>
              <w:jc w:val="left"/>
              <w:textAlignment w:val="auto"/>
              <w:rPr>
                <w:sz w:val="24"/>
              </w:rPr>
            </w:pPr>
            <w:r>
              <w:rPr>
                <w:rFonts w:ascii="宋体" w:hAnsi="宋体" w:eastAsia="宋体" w:cs="宋体"/>
                <w:b/>
                <w:i w:val="0"/>
                <w:spacing w:val="0"/>
                <w:sz w:val="24"/>
              </w:rPr>
              <w:t>大写：________________________</w:t>
            </w:r>
          </w:p>
        </w:tc>
        <w:tc>
          <w:tcPr>
            <w:tcW w:w="1380" w:type="dxa"/>
          </w:tcPr>
          <w:p w14:paraId="089FF3E6">
            <w:pPr>
              <w:pageBreakBefore w:val="0"/>
              <w:wordWrap/>
              <w:spacing w:before="160" w:after="0"/>
              <w:ind w:left="0" w:right="0"/>
              <w:jc w:val="left"/>
              <w:textAlignment w:val="auto"/>
            </w:pPr>
          </w:p>
        </w:tc>
        <w:tc>
          <w:tcPr>
            <w:tcW w:w="1380" w:type="dxa"/>
          </w:tcPr>
          <w:p w14:paraId="0D8DF0ED">
            <w:pPr>
              <w:pageBreakBefore w:val="0"/>
              <w:wordWrap/>
              <w:spacing w:before="160" w:after="0"/>
              <w:ind w:left="0" w:right="0"/>
              <w:jc w:val="left"/>
              <w:textAlignment w:val="auto"/>
            </w:pPr>
          </w:p>
        </w:tc>
        <w:tc>
          <w:tcPr>
            <w:tcW w:w="1380" w:type="dxa"/>
          </w:tcPr>
          <w:p w14:paraId="33C712DC">
            <w:pPr>
              <w:pageBreakBefore w:val="0"/>
              <w:wordWrap/>
              <w:spacing w:before="160" w:after="0"/>
              <w:ind w:left="0" w:right="0"/>
              <w:jc w:val="left"/>
              <w:textAlignment w:val="auto"/>
            </w:pPr>
          </w:p>
        </w:tc>
      </w:tr>
    </w:tbl>
    <w:p w14:paraId="4F09E0C8">
      <w:pPr>
        <w:pageBreakBefore w:val="0"/>
        <w:wordWrap/>
        <w:spacing w:before="160" w:after="0"/>
        <w:ind w:left="0" w:right="0"/>
        <w:jc w:val="left"/>
        <w:textAlignment w:val="auto"/>
        <w:rPr>
          <w:sz w:val="24"/>
        </w:rPr>
      </w:pPr>
      <w:r>
        <w:rPr>
          <w:rFonts w:ascii="宋体" w:hAnsi="宋体" w:eastAsia="宋体" w:cs="宋体"/>
          <w:b/>
          <w:i w:val="0"/>
          <w:spacing w:val="0"/>
          <w:sz w:val="24"/>
        </w:rPr>
        <w:t>五、参选文件提交要求</w:t>
      </w:r>
    </w:p>
    <w:p w14:paraId="02DB0A87">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技术方案</w:t>
      </w:r>
      <w:r>
        <w:rPr>
          <w:rFonts w:ascii="宋体" w:hAnsi="宋体" w:eastAsia="宋体" w:cs="宋体"/>
          <w:b w:val="0"/>
          <w:i w:val="0"/>
          <w:spacing w:val="0"/>
          <w:sz w:val="24"/>
        </w:rPr>
        <w:t>：提供详细的系统架构图、功能清单、网络拓扑图及数据安全方案。</w:t>
      </w:r>
    </w:p>
    <w:p w14:paraId="72E82855">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商务报价</w:t>
      </w:r>
      <w:r>
        <w:rPr>
          <w:rFonts w:ascii="宋体" w:hAnsi="宋体" w:eastAsia="宋体" w:cs="宋体"/>
          <w:b w:val="0"/>
          <w:i w:val="0"/>
          <w:spacing w:val="0"/>
          <w:sz w:val="24"/>
        </w:rPr>
        <w:t>：按上述表格填写，并提供近三年同类项目的中标价格作为参考。</w:t>
      </w:r>
    </w:p>
    <w:p w14:paraId="2A734ADA">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资质证明</w:t>
      </w:r>
      <w:r>
        <w:rPr>
          <w:rFonts w:ascii="宋体" w:hAnsi="宋体" w:eastAsia="宋体" w:cs="宋体"/>
          <w:b w:val="0"/>
          <w:i w:val="0"/>
          <w:spacing w:val="0"/>
          <w:sz w:val="24"/>
        </w:rPr>
        <w:t>：营业执照、医疗器械注册证、软件著作权等复印件（加盖公章）。</w:t>
      </w:r>
    </w:p>
    <w:p w14:paraId="402CA812">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成功案例</w:t>
      </w:r>
      <w:r>
        <w:rPr>
          <w:rFonts w:ascii="宋体" w:hAnsi="宋体" w:eastAsia="宋体" w:cs="宋体"/>
          <w:b w:val="0"/>
          <w:i w:val="0"/>
          <w:spacing w:val="0"/>
          <w:sz w:val="24"/>
        </w:rPr>
        <w:t>：提供近3年内市级或区域级远程超声平台建设案例合同复印件。</w:t>
      </w:r>
    </w:p>
    <w:p w14:paraId="2F0EFD19">
      <w:pPr>
        <w:keepNext w:val="0"/>
        <w:keepLines w:val="0"/>
        <w:pageBreakBefore w:val="0"/>
        <w:widowControl w:val="0"/>
        <w:numPr>
          <w:ilvl w:val="0"/>
          <w:numId w:val="0"/>
        </w:numPr>
        <w:kinsoku/>
        <w:wordWrap/>
        <w:overflowPunct/>
        <w:topLinePunct w:val="0"/>
        <w:autoSpaceDE/>
        <w:autoSpaceDN/>
        <w:bidi w:val="0"/>
        <w:adjustRightInd/>
        <w:snapToGrid/>
        <w:spacing w:before="160" w:after="0" w:line="360" w:lineRule="auto"/>
        <w:ind w:leftChars="0" w:right="0" w:rightChars="0"/>
        <w:jc w:val="left"/>
        <w:textAlignment w:val="auto"/>
      </w:pPr>
      <w:r>
        <w:rPr>
          <w:rFonts w:hint="eastAsia" w:ascii="宋体" w:hAnsi="宋体" w:eastAsia="宋体" w:cs="宋体"/>
          <w:b/>
          <w:i w:val="0"/>
          <w:spacing w:val="0"/>
          <w:sz w:val="24"/>
          <w:lang w:eastAsia="zh-CN"/>
        </w:rPr>
        <w:t>六、服务期间履约管控要求：</w:t>
      </w:r>
    </w:p>
    <w:p w14:paraId="2B8B2DF1">
      <w:pPr>
        <w:widowControl/>
        <w:adjustRightInd w:val="0"/>
        <w:snapToGrid w:val="0"/>
        <w:spacing w:line="360" w:lineRule="auto"/>
        <w:ind w:firstLine="480" w:firstLineChars="200"/>
        <w:jc w:val="left"/>
        <w:outlineLvl w:val="0"/>
        <w:rPr>
          <w:rFonts w:hint="default" w:ascii="宋体" w:hAnsi="宋体" w:eastAsia="宋体" w:cs="宋体"/>
          <w:b/>
          <w:i w:val="0"/>
          <w:spacing w:val="0"/>
          <w:sz w:val="24"/>
          <w:lang w:val="en-US"/>
        </w:rPr>
      </w:pPr>
      <w:r>
        <w:rPr>
          <w:rFonts w:hint="eastAsia" w:ascii="宋体" w:hAnsi="宋体" w:eastAsia="宋体" w:cs="宋体"/>
          <w:b w:val="0"/>
          <w:i w:val="0"/>
          <w:spacing w:val="0"/>
          <w:sz w:val="24"/>
          <w:lang w:eastAsia="zh-CN"/>
        </w:rPr>
        <w:t>为督促服务方高质量落实安全服务工作，合同履约期间预留合同价款 的20%作为履约保证金。如因服务方履职不到位（事项属于其服务范围），被上级主管部门通报，并对本院业务安全、网络安全稳定运行造成不良影响的，每次从履约保证金中扣除3000元；若发生服务方相关人员导致的院内信息外泄事件，本院将依法追责；因服务方现场人员操作不当引发损失的，由服务方承担全部损失，情节严重的依法追究法律责任。每半年开展一次服务履约评价，评价得分低于80分，我院向服务方出具整改通知，服务方须限期完成整改；整改复核仍不达标的，我院有权单方提前终止本合同，同时履约评价将作为我院后续同类安全服务项目评审打分的重要参考依据。</w:t>
      </w:r>
    </w:p>
    <w:p w14:paraId="06D8A522">
      <w:pPr>
        <w:pageBreakBefore w:val="0"/>
        <w:numPr>
          <w:ilvl w:val="0"/>
          <w:numId w:val="0"/>
        </w:numPr>
        <w:wordWrap/>
        <w:spacing w:before="160" w:after="0"/>
        <w:ind w:leftChars="0" w:right="0" w:rightChars="0"/>
        <w:jc w:val="left"/>
        <w:textAlignment w:val="auto"/>
        <w:rPr>
          <w:sz w:val="24"/>
        </w:rPr>
      </w:pPr>
      <w:r>
        <w:rPr>
          <w:rFonts w:hint="eastAsia" w:ascii="宋体" w:hAnsi="宋体" w:eastAsia="宋体" w:cs="宋体"/>
          <w:b/>
          <w:i w:val="0"/>
          <w:spacing w:val="0"/>
          <w:sz w:val="24"/>
          <w:lang w:eastAsia="zh-CN"/>
        </w:rPr>
        <w:t>七、保密及免责条款</w:t>
      </w:r>
      <w:r>
        <w:rPr>
          <w:rFonts w:ascii="宋体" w:hAnsi="宋体" w:eastAsia="宋体" w:cs="宋体"/>
          <w:b w:val="0"/>
          <w:i w:val="0"/>
          <w:spacing w:val="0"/>
          <w:sz w:val="24"/>
        </w:rPr>
        <w:t>：</w:t>
      </w:r>
    </w:p>
    <w:p w14:paraId="4AF7E02B">
      <w:pPr>
        <w:pStyle w:val="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i w:val="0"/>
          <w:spacing w:val="0"/>
          <w:kern w:val="0"/>
          <w:sz w:val="24"/>
          <w:szCs w:val="22"/>
          <w:lang w:eastAsia="zh-CN"/>
        </w:rPr>
      </w:pPr>
      <w:r>
        <w:rPr>
          <w:rFonts w:hint="eastAsia" w:ascii="宋体" w:hAnsi="宋体" w:eastAsia="宋体" w:cs="宋体"/>
          <w:b w:val="0"/>
          <w:i w:val="0"/>
          <w:spacing w:val="0"/>
          <w:kern w:val="0"/>
          <w:sz w:val="24"/>
          <w:szCs w:val="22"/>
          <w:lang w:eastAsia="zh-CN"/>
        </w:rPr>
        <w:t>投标人及其所有参与本项目的项目经理及运维工程师，应当严格遵守《中华人民共和国网络安全法》《中华人民共和国个人信息保护法》及医院内部网络安全、数据保密管理相关制度，对在维保实施、巡检、故障处置过程中接触到的医院网络拓扑、硬件资产信息、业务系统配置、医疗业务数据、患者隐私信息、账号口令、内部文档资料等全部信息承担永久保密责任，不因本服务合同终止而失效。</w:t>
      </w:r>
    </w:p>
    <w:p w14:paraId="567091A5">
      <w:pPr>
        <w:pStyle w:val="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i w:val="0"/>
          <w:spacing w:val="0"/>
          <w:kern w:val="0"/>
          <w:sz w:val="24"/>
          <w:szCs w:val="22"/>
          <w:lang w:eastAsia="zh-CN"/>
        </w:rPr>
      </w:pPr>
      <w:r>
        <w:rPr>
          <w:rFonts w:hint="eastAsia" w:ascii="宋体" w:hAnsi="宋体" w:eastAsia="宋体" w:cs="宋体"/>
          <w:b w:val="0"/>
          <w:i w:val="0"/>
          <w:spacing w:val="0"/>
          <w:kern w:val="0"/>
          <w:sz w:val="24"/>
          <w:szCs w:val="22"/>
          <w:lang w:eastAsia="zh-CN"/>
        </w:rPr>
        <w:t>投标人在后续服务期内，开展服务所使用的硬件、软件等相关工具，不得侵害第三方合法权益，不得导致甲方卷入任何诉讼、仲裁、行政处罚或其他法律纠纷。如因投标人原因造成甲方发生前述法律纠纷的，由此产生的全部法律责任、赔偿款项、维权费用均由投标人承担。</w:t>
      </w:r>
    </w:p>
    <w:p w14:paraId="62C13B24">
      <w:pPr>
        <w:jc w:val="left"/>
      </w:pPr>
    </w:p>
    <w:sectPr>
      <w:headerReference r:id="rId3" w:type="default"/>
      <w:footerReference r:id="rId4" w:type="default"/>
      <w:pgSz w:w="1190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D85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6B52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1">
    <w:nsid w:val="0053208E"/>
    <w:multiLevelType w:val="multilevel"/>
    <w:tmpl w:val="0053208E"/>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2">
    <w:nsid w:val="59ADCABA"/>
    <w:multiLevelType w:val="multilevel"/>
    <w:tmpl w:val="59ADCABA"/>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isplayHorizontalDrawingGridEvery w:val="1"/>
  <w:displayVerticalDrawingGridEvery w:val="1"/>
  <w:noPunctuationKerning w:val="1"/>
  <w:compat>
    <w:ulTrailSpace/>
    <w:doNotExpandShiftReturn/>
    <w:doNotWrapTextWithPunct/>
    <w:doNotUseEastAsianBreakRules/>
    <w:useFELayout/>
    <w:compatSetting w:name="compatibilityMode" w:uri="http://schemas.microsoft.com/office/word" w:val="15"/>
  </w:compat>
  <w:rsids>
    <w:rsidRoot w:val="00172A27"/>
    <w:rsid w:val="08227BD2"/>
    <w:rsid w:val="0D4252AC"/>
    <w:rsid w:val="113B2DD9"/>
    <w:rsid w:val="16657E8D"/>
    <w:rsid w:val="1C670FE8"/>
    <w:rsid w:val="1D160F13"/>
    <w:rsid w:val="2E3F14D8"/>
    <w:rsid w:val="4B7E0AEC"/>
    <w:rsid w:val="66850D22"/>
    <w:rsid w:val="66C31971"/>
    <w:rsid w:val="71BB04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1341</Words>
  <Characters>1381</Characters>
  <TotalTime>20</TotalTime>
  <ScaleCrop>false</ScaleCrop>
  <LinksUpToDate>false</LinksUpToDate>
  <CharactersWithSpaces>1382</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2026-10-29T00:19:00Z</dcterms:created>
  <dc:creator>Apache POI</dc:creator>
  <cp:lastModifiedBy>范龙飞</cp:lastModifiedBy>
  <dcterms:modified xsi:type="dcterms:W3CDTF">2026-10-30T00:05:34Z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nO347FaJm8FvGLKgK02HbHzW+Yvc2+M/Xu9WhuD9cKQ=","ProduceID":"doc_sgs:228f1b10-3fd0-4815-a2d4-8a02e2337b2d","ReservedCode2":"nO347FaJm8FvGLKgK02HbHzW+Yvc2+M/Xu9WhuD9cKQ=","PropagateID":"doc_sgs:228f1b10-3fd0-4815-a2d4-8a02e2337b2d","ContentProducer":"001191440101MA9Y9T4H7A00000"}</vt:lpwstr>
  </property>
  <property fmtid="{D5CDD505-2E9C-101B-9397-08002B2CF9AE}" pid="3" name="KSOTemplateDocerSaveRecord">
    <vt:lpwstr>eyJoZGlkIjoiZDQyZDI3MjAwMDAwOGFjNWRiZTI0NjcxZDhhNWNjZmIiLCJ1c2VySWQiOiIxNzczOTU2NDcwIn0=</vt:lpwstr>
  </property>
  <property fmtid="{D5CDD505-2E9C-101B-9397-08002B2CF9AE}" pid="4" name="KSOProductBuildVer">
    <vt:lpwstr>2052-12.1.0.29161</vt:lpwstr>
  </property>
  <property fmtid="{D5CDD505-2E9C-101B-9397-08002B2CF9AE}" pid="5" name="ICV">
    <vt:lpwstr>0B4E5203973A4B8E886E535D3A95BCA2_12</vt:lpwstr>
  </property>
</Properties>
</file>