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A1A3A">
      <w:pPr>
        <w:pStyle w:val="3"/>
        <w:spacing w:before="312" w:after="156" w:line="400" w:lineRule="exact"/>
        <w:rPr>
          <w:rFonts w:ascii="宋体" w:hAnsi="宋体" w:eastAsia="宋体" w:cs="宋体"/>
          <w:color w:val="auto"/>
          <w:sz w:val="36"/>
          <w:szCs w:val="36"/>
        </w:rPr>
      </w:pPr>
      <w:r>
        <w:rPr>
          <w:rFonts w:hint="eastAsia" w:ascii="宋体" w:hAnsi="宋体" w:eastAsia="宋体" w:cs="宋体"/>
          <w:color w:val="auto"/>
          <w:sz w:val="36"/>
          <w:szCs w:val="36"/>
        </w:rPr>
        <w:t>档案库房设计说明</w:t>
      </w:r>
    </w:p>
    <w:p w14:paraId="2CCF0DA3">
      <w:pPr>
        <w:pStyle w:val="2"/>
        <w:spacing w:line="360" w:lineRule="auto"/>
        <w:jc w:val="left"/>
        <w:rPr>
          <w:rFonts w:ascii="宋体" w:hAnsi="宋体" w:eastAsia="宋体" w:cs="宋体"/>
          <w:color w:val="auto"/>
          <w:sz w:val="24"/>
        </w:rPr>
      </w:pPr>
      <w:r>
        <w:rPr>
          <w:rFonts w:hint="eastAsia" w:ascii="宋体" w:hAnsi="宋体" w:eastAsia="宋体" w:cs="宋体"/>
          <w:color w:val="auto"/>
          <w:sz w:val="24"/>
        </w:rPr>
        <w:t>一、本次档案库房是按照《中华人民共和国档案法》《中华人民共和国档案法实施办法》《档案馆建设标准》根据《全国档案馆设置原则和布局方案》及国家档案（局）馆针对档案存储规范要求有利于档案的保管保护及查阅利用进行设计、有利于档案库房的八防要求：（防火、防盗、防光、防</w:t>
      </w:r>
      <w:bookmarkStart w:id="5" w:name="_GoBack"/>
      <w:bookmarkEnd w:id="5"/>
      <w:r>
        <w:rPr>
          <w:rFonts w:hint="eastAsia" w:ascii="宋体" w:hAnsi="宋体" w:eastAsia="宋体" w:cs="宋体"/>
          <w:color w:val="auto"/>
          <w:sz w:val="24"/>
        </w:rPr>
        <w:t>潮、防虫、防有害气体、防尘、防高温）。</w:t>
      </w:r>
    </w:p>
    <w:p w14:paraId="6C8CEAAE">
      <w:pPr>
        <w:pStyle w:val="2"/>
        <w:spacing w:line="360" w:lineRule="auto"/>
        <w:jc w:val="left"/>
        <w:rPr>
          <w:rFonts w:ascii="宋体" w:hAnsi="宋体" w:eastAsia="宋体" w:cs="宋体"/>
          <w:color w:val="auto"/>
          <w:sz w:val="24"/>
        </w:rPr>
      </w:pPr>
      <w:bookmarkStart w:id="0" w:name="_Toc19204"/>
      <w:r>
        <w:rPr>
          <w:rFonts w:hint="eastAsia" w:ascii="宋体" w:hAnsi="宋体" w:eastAsia="宋体" w:cs="宋体"/>
          <w:color w:val="auto"/>
          <w:sz w:val="24"/>
        </w:rPr>
        <w:t>二、低温冷冻</w:t>
      </w:r>
      <w:bookmarkStart w:id="1" w:name="OLE_LINK1"/>
      <w:r>
        <w:rPr>
          <w:rFonts w:hint="eastAsia" w:ascii="宋体" w:hAnsi="宋体" w:eastAsia="宋体" w:cs="宋体"/>
          <w:color w:val="auto"/>
          <w:sz w:val="24"/>
        </w:rPr>
        <w:t>杀虫臭氧消毒</w:t>
      </w:r>
      <w:bookmarkEnd w:id="1"/>
      <w:r>
        <w:rPr>
          <w:rFonts w:hint="eastAsia" w:ascii="宋体" w:hAnsi="宋体" w:eastAsia="宋体" w:cs="宋体"/>
          <w:color w:val="auto"/>
          <w:sz w:val="24"/>
        </w:rPr>
        <w:t>柜</w:t>
      </w:r>
      <w:bookmarkEnd w:id="0"/>
      <w:r>
        <w:rPr>
          <w:rFonts w:hint="eastAsia" w:ascii="宋体" w:hAnsi="宋体" w:eastAsia="宋体" w:cs="宋体"/>
          <w:color w:val="auto"/>
          <w:sz w:val="24"/>
        </w:rPr>
        <w:t>：采用超低温、臭氧联合控制方法，对档案进行杀虫灭菌处理、每次消毒量不低于150合档案(A4大小</w:t>
      </w:r>
      <w:r>
        <w:rPr>
          <w:rFonts w:hint="eastAsia" w:ascii="宋体" w:hAnsi="宋体" w:eastAsia="宋体" w:cs="宋体"/>
          <w:color w:val="auto"/>
          <w:kern w:val="0"/>
          <w:sz w:val="24"/>
        </w:rPr>
        <w:t>4cm厚)。</w:t>
      </w:r>
      <w:r>
        <w:rPr>
          <w:rFonts w:hint="eastAsia" w:ascii="宋体" w:hAnsi="宋体" w:eastAsia="宋体" w:cs="宋体"/>
          <w:color w:val="auto"/>
          <w:sz w:val="24"/>
        </w:rPr>
        <w:t>是目前所有专业性档案存储单位采用的常规档案杀虫消毒设备。</w:t>
      </w:r>
    </w:p>
    <w:p w14:paraId="116E2AE8">
      <w:pPr>
        <w:pStyle w:val="2"/>
        <w:spacing w:line="360" w:lineRule="auto"/>
        <w:jc w:val="left"/>
        <w:rPr>
          <w:rFonts w:ascii="宋体" w:hAnsi="宋体" w:eastAsia="宋体" w:cs="宋体"/>
          <w:color w:val="auto"/>
          <w:sz w:val="24"/>
        </w:rPr>
      </w:pPr>
      <w:bookmarkStart w:id="2" w:name="_Toc3721"/>
      <w:r>
        <w:rPr>
          <w:rFonts w:hint="eastAsia" w:ascii="宋体" w:hAnsi="宋体" w:eastAsia="宋体" w:cs="宋体"/>
          <w:color w:val="auto"/>
          <w:sz w:val="24"/>
        </w:rPr>
        <w:t>三、储物柜</w:t>
      </w:r>
      <w:bookmarkEnd w:id="2"/>
      <w:r>
        <w:rPr>
          <w:rFonts w:hint="eastAsia" w:ascii="宋体" w:hAnsi="宋体" w:eastAsia="宋体" w:cs="宋体"/>
          <w:color w:val="auto"/>
          <w:sz w:val="24"/>
        </w:rPr>
        <w:t>：用于存放库房设施设备的物品，例如：密集架的锁匙，设备保养说明，相关图纸。</w:t>
      </w:r>
    </w:p>
    <w:p w14:paraId="50C859B1">
      <w:pPr>
        <w:spacing w:line="360" w:lineRule="auto"/>
        <w:jc w:val="left"/>
        <w:rPr>
          <w:rFonts w:ascii="宋体" w:hAnsi="宋体" w:cs="宋体"/>
          <w:color w:val="auto"/>
          <w:sz w:val="24"/>
        </w:rPr>
      </w:pPr>
      <w:bookmarkStart w:id="3" w:name="_Toc87"/>
      <w:r>
        <w:rPr>
          <w:rFonts w:hint="eastAsia" w:ascii="宋体" w:hAnsi="宋体" w:cs="宋体"/>
          <w:color w:val="auto"/>
          <w:sz w:val="24"/>
        </w:rPr>
        <w:t>四、防磁柜</w:t>
      </w:r>
      <w:bookmarkEnd w:id="3"/>
      <w:r>
        <w:rPr>
          <w:rFonts w:hint="eastAsia" w:ascii="宋体" w:hAnsi="宋体" w:cs="宋体"/>
          <w:color w:val="auto"/>
          <w:sz w:val="24"/>
        </w:rPr>
        <w:t>：存放电子档案例如：U盘、光盘、磁带、录像等影像资料，延长电子档案使用年限。</w:t>
      </w:r>
    </w:p>
    <w:p w14:paraId="3A00EC56">
      <w:pPr>
        <w:pStyle w:val="2"/>
        <w:spacing w:line="360" w:lineRule="auto"/>
        <w:jc w:val="left"/>
        <w:rPr>
          <w:rFonts w:ascii="宋体" w:hAnsi="宋体" w:eastAsia="宋体" w:cs="宋体"/>
          <w:color w:val="auto"/>
          <w:sz w:val="24"/>
        </w:rPr>
      </w:pPr>
      <w:r>
        <w:rPr>
          <w:rFonts w:hint="eastAsia" w:ascii="宋体" w:hAnsi="宋体" w:eastAsia="宋体" w:cs="宋体"/>
          <w:color w:val="auto"/>
          <w:sz w:val="24"/>
        </w:rPr>
        <w:t>五、书车、书梯：按照库房面积，档案存放量设计，方便档案运输入库，同档案上下架的必要工具。</w:t>
      </w:r>
    </w:p>
    <w:p w14:paraId="2EE014F7">
      <w:pPr>
        <w:spacing w:line="360" w:lineRule="auto"/>
        <w:jc w:val="left"/>
        <w:rPr>
          <w:rFonts w:ascii="宋体" w:hAnsi="宋体" w:cs="宋体"/>
          <w:color w:val="auto"/>
          <w:kern w:val="0"/>
          <w:sz w:val="24"/>
        </w:rPr>
      </w:pPr>
      <w:bookmarkStart w:id="4" w:name="_Toc6115"/>
      <w:r>
        <w:rPr>
          <w:rFonts w:hint="eastAsia" w:ascii="宋体" w:hAnsi="宋体" w:cs="宋体"/>
          <w:color w:val="auto"/>
          <w:kern w:val="0"/>
          <w:sz w:val="24"/>
        </w:rPr>
        <w:t>六、防鼠板（安全出口定制）</w:t>
      </w:r>
      <w:bookmarkEnd w:id="4"/>
      <w:r>
        <w:rPr>
          <w:rFonts w:hint="eastAsia" w:ascii="宋体" w:hAnsi="宋体" w:cs="宋体"/>
          <w:color w:val="auto"/>
          <w:kern w:val="0"/>
          <w:sz w:val="24"/>
        </w:rPr>
        <w:t>：由于库房处于地面平层，周边地形复杂，设置必要的防鼠设施，保障档案存放安全。</w:t>
      </w:r>
    </w:p>
    <w:p w14:paraId="5D0BD8AF">
      <w:pPr>
        <w:spacing w:line="360" w:lineRule="auto"/>
        <w:jc w:val="left"/>
        <w:rPr>
          <w:rFonts w:ascii="宋体" w:hAnsi="宋体" w:cs="宋体"/>
          <w:color w:val="auto"/>
          <w:kern w:val="0"/>
          <w:sz w:val="24"/>
        </w:rPr>
      </w:pPr>
      <w:r>
        <w:rPr>
          <w:rFonts w:hint="eastAsia" w:ascii="宋体" w:hAnsi="宋体" w:cs="宋体"/>
          <w:bCs/>
          <w:color w:val="auto"/>
          <w:sz w:val="24"/>
        </w:rPr>
        <w:t>七、办公区域：按照国家一级档案馆技术标准，设计预留</w:t>
      </w:r>
      <w:r>
        <w:rPr>
          <w:rFonts w:hint="eastAsia" w:ascii="宋体" w:hAnsi="宋体" w:cs="宋体"/>
          <w:color w:val="auto"/>
          <w:spacing w:val="10"/>
          <w:sz w:val="24"/>
          <w:shd w:val="clear" w:color="auto" w:fill="FFFFFF"/>
        </w:rPr>
        <w:t>档案接收整理间、档案</w:t>
      </w:r>
      <w:r>
        <w:rPr>
          <w:rFonts w:hint="eastAsia" w:ascii="宋体" w:hAnsi="宋体" w:cs="宋体"/>
          <w:color w:val="auto"/>
          <w:kern w:val="0"/>
          <w:sz w:val="24"/>
        </w:rPr>
        <w:t>杀虫</w:t>
      </w:r>
      <w:r>
        <w:rPr>
          <w:rFonts w:hint="eastAsia" w:ascii="宋体" w:hAnsi="宋体" w:cs="宋体"/>
          <w:color w:val="auto"/>
          <w:spacing w:val="10"/>
          <w:sz w:val="24"/>
          <w:shd w:val="clear" w:color="auto" w:fill="FFFFFF"/>
        </w:rPr>
        <w:t>消毒间、档案查询室、</w:t>
      </w:r>
      <w:r>
        <w:rPr>
          <w:rFonts w:hint="eastAsia" w:ascii="宋体" w:hAnsi="宋体" w:cs="宋体"/>
          <w:color w:val="auto"/>
          <w:spacing w:val="10"/>
          <w:sz w:val="24"/>
          <w:shd w:val="clear" w:color="auto" w:fill="FFFFFF"/>
          <w:lang w:eastAsia="zh-CN"/>
        </w:rPr>
        <w:t>过度</w:t>
      </w:r>
      <w:r>
        <w:rPr>
          <w:rFonts w:hint="eastAsia" w:ascii="宋体" w:hAnsi="宋体" w:cs="宋体"/>
          <w:color w:val="auto"/>
          <w:spacing w:val="10"/>
          <w:sz w:val="24"/>
          <w:shd w:val="clear" w:color="auto" w:fill="FFFFFF"/>
        </w:rPr>
        <w:t>间、满足日常档案管理需求。</w:t>
      </w:r>
    </w:p>
    <w:p w14:paraId="5B3E1B18">
      <w:pPr>
        <w:rPr>
          <w:rFonts w:ascii="宋体" w:hAnsi="宋体" w:cs="宋体"/>
          <w:color w:val="auto"/>
        </w:rPr>
      </w:pPr>
    </w:p>
    <w:p w14:paraId="6E8D61BA">
      <w:pPr>
        <w:rPr>
          <w:rFonts w:ascii="宋体" w:hAnsi="宋体" w:cs="宋体"/>
          <w:color w:val="auto"/>
        </w:rPr>
      </w:pPr>
    </w:p>
    <w:p w14:paraId="453D6DE1">
      <w:pPr>
        <w:pStyle w:val="11"/>
        <w:rPr>
          <w:rFonts w:ascii="宋体" w:hAnsi="宋体" w:cs="宋体"/>
          <w:color w:val="auto"/>
        </w:rPr>
      </w:pPr>
    </w:p>
    <w:p w14:paraId="1B53194B">
      <w:pPr>
        <w:rPr>
          <w:rFonts w:ascii="宋体" w:hAnsi="宋体" w:cs="宋体"/>
          <w:color w:val="auto"/>
        </w:rPr>
      </w:pPr>
    </w:p>
    <w:p w14:paraId="1F9C8BA2">
      <w:pPr>
        <w:pStyle w:val="11"/>
        <w:rPr>
          <w:rFonts w:ascii="宋体" w:hAnsi="宋体" w:cs="宋体"/>
          <w:color w:val="auto"/>
        </w:rPr>
      </w:pPr>
    </w:p>
    <w:p w14:paraId="2F518ABA">
      <w:pPr>
        <w:rPr>
          <w:rFonts w:ascii="宋体" w:hAnsi="宋体" w:cs="宋体"/>
          <w:color w:val="auto"/>
        </w:rPr>
      </w:pPr>
    </w:p>
    <w:p w14:paraId="3264F4E2">
      <w:pPr>
        <w:pStyle w:val="2"/>
        <w:rPr>
          <w:color w:val="auto"/>
        </w:rPr>
      </w:pPr>
    </w:p>
    <w:p w14:paraId="12C27925">
      <w:pPr>
        <w:pStyle w:val="2"/>
        <w:rPr>
          <w:rFonts w:ascii="宋体" w:hAnsi="宋体" w:eastAsia="宋体" w:cs="宋体"/>
          <w:color w:val="auto"/>
        </w:rPr>
      </w:pPr>
    </w:p>
    <w:p w14:paraId="641DA4BD">
      <w:pPr>
        <w:pStyle w:val="12"/>
        <w:ind w:left="560"/>
        <w:rPr>
          <w:color w:val="auto"/>
        </w:rPr>
      </w:pPr>
    </w:p>
    <w:p w14:paraId="203D0F88">
      <w:pPr>
        <w:pStyle w:val="4"/>
        <w:jc w:val="center"/>
        <w:rPr>
          <w:b/>
          <w:bCs/>
          <w:color w:val="auto"/>
        </w:rPr>
      </w:pPr>
      <w:r>
        <w:rPr>
          <w:rFonts w:hint="eastAsia"/>
          <w:b/>
          <w:bCs/>
          <w:color w:val="auto"/>
        </w:rPr>
        <w:t>一、平面设计图</w:t>
      </w:r>
    </w:p>
    <w:p w14:paraId="135DDAD6">
      <w:pPr>
        <w:pStyle w:val="4"/>
        <w:jc w:val="center"/>
        <w:rPr>
          <w:b/>
          <w:bCs/>
          <w:color w:val="auto"/>
        </w:rPr>
      </w:pPr>
      <w:r>
        <w:rPr>
          <w:rFonts w:hint="eastAsia"/>
          <w:b/>
          <w:bCs/>
          <w:color w:val="auto"/>
        </w:rPr>
        <w:drawing>
          <wp:inline distT="0" distB="0" distL="114300" distR="114300">
            <wp:extent cx="5840095" cy="3512185"/>
            <wp:effectExtent l="0" t="0" r="8255" b="12065"/>
            <wp:docPr id="1" name="图片 1" descr="e877b5ff0a27789be11a1c390e0e90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877b5ff0a27789be11a1c390e0e90d5"/>
                    <pic:cNvPicPr>
                      <a:picLocks noChangeAspect="1"/>
                    </pic:cNvPicPr>
                  </pic:nvPicPr>
                  <pic:blipFill>
                    <a:blip r:embed="rId4" cstate="print"/>
                    <a:stretch>
                      <a:fillRect/>
                    </a:stretch>
                  </pic:blipFill>
                  <pic:spPr>
                    <a:xfrm>
                      <a:off x="0" y="0"/>
                      <a:ext cx="5840095" cy="3512185"/>
                    </a:xfrm>
                    <a:prstGeom prst="rect">
                      <a:avLst/>
                    </a:prstGeom>
                  </pic:spPr>
                </pic:pic>
              </a:graphicData>
            </a:graphic>
          </wp:inline>
        </w:drawing>
      </w:r>
    </w:p>
    <w:p w14:paraId="2F042B9A">
      <w:pPr>
        <w:pStyle w:val="4"/>
        <w:jc w:val="center"/>
        <w:rPr>
          <w:b/>
          <w:bCs/>
          <w:color w:val="auto"/>
        </w:rPr>
      </w:pPr>
    </w:p>
    <w:p w14:paraId="62423FB1">
      <w:pPr>
        <w:pStyle w:val="4"/>
        <w:jc w:val="center"/>
        <w:rPr>
          <w:b/>
          <w:bCs/>
          <w:color w:val="auto"/>
        </w:rPr>
      </w:pPr>
    </w:p>
    <w:p w14:paraId="674FC3B2">
      <w:pPr>
        <w:pStyle w:val="4"/>
        <w:jc w:val="center"/>
        <w:rPr>
          <w:b/>
          <w:bCs/>
          <w:color w:val="auto"/>
        </w:rPr>
      </w:pPr>
    </w:p>
    <w:p w14:paraId="01F2F1C9">
      <w:pPr>
        <w:pStyle w:val="4"/>
        <w:jc w:val="center"/>
        <w:rPr>
          <w:b/>
          <w:bCs/>
          <w:color w:val="auto"/>
        </w:rPr>
      </w:pPr>
    </w:p>
    <w:p w14:paraId="1CDD33F9">
      <w:pPr>
        <w:pStyle w:val="4"/>
        <w:jc w:val="center"/>
        <w:rPr>
          <w:b/>
          <w:bCs/>
          <w:color w:val="auto"/>
        </w:rPr>
      </w:pPr>
    </w:p>
    <w:p w14:paraId="775E984A">
      <w:pPr>
        <w:pStyle w:val="4"/>
        <w:jc w:val="center"/>
        <w:rPr>
          <w:b/>
          <w:bCs/>
          <w:color w:val="auto"/>
        </w:rPr>
      </w:pPr>
    </w:p>
    <w:p w14:paraId="7916A2F0">
      <w:pPr>
        <w:pStyle w:val="4"/>
        <w:jc w:val="center"/>
        <w:rPr>
          <w:b/>
          <w:bCs/>
          <w:color w:val="auto"/>
        </w:rPr>
      </w:pPr>
    </w:p>
    <w:p w14:paraId="2689E3FE">
      <w:pPr>
        <w:pStyle w:val="4"/>
        <w:jc w:val="center"/>
        <w:rPr>
          <w:b/>
          <w:bCs/>
          <w:color w:val="auto"/>
        </w:rPr>
      </w:pPr>
    </w:p>
    <w:p w14:paraId="424B77E9">
      <w:pPr>
        <w:pStyle w:val="4"/>
        <w:jc w:val="center"/>
        <w:rPr>
          <w:b/>
          <w:bCs/>
          <w:color w:val="auto"/>
        </w:rPr>
      </w:pPr>
    </w:p>
    <w:p w14:paraId="777EBC87">
      <w:pPr>
        <w:pStyle w:val="4"/>
        <w:jc w:val="center"/>
        <w:rPr>
          <w:b/>
          <w:bCs/>
          <w:color w:val="auto"/>
        </w:rPr>
      </w:pPr>
    </w:p>
    <w:p w14:paraId="0625ABB4">
      <w:pPr>
        <w:pStyle w:val="4"/>
        <w:jc w:val="center"/>
        <w:rPr>
          <w:b/>
          <w:bCs/>
          <w:color w:val="auto"/>
        </w:rPr>
      </w:pPr>
    </w:p>
    <w:p w14:paraId="3DAFAFF9">
      <w:pPr>
        <w:pStyle w:val="4"/>
        <w:jc w:val="center"/>
        <w:rPr>
          <w:b/>
          <w:bCs/>
          <w:color w:val="auto"/>
        </w:rPr>
      </w:pPr>
    </w:p>
    <w:p w14:paraId="5C3F104E">
      <w:pPr>
        <w:pStyle w:val="4"/>
        <w:jc w:val="center"/>
        <w:rPr>
          <w:b/>
          <w:bCs/>
          <w:color w:val="auto"/>
        </w:rPr>
      </w:pPr>
    </w:p>
    <w:p w14:paraId="2A9FF02F">
      <w:pPr>
        <w:pStyle w:val="4"/>
        <w:jc w:val="center"/>
        <w:rPr>
          <w:b/>
          <w:bCs/>
          <w:color w:val="auto"/>
        </w:rPr>
      </w:pPr>
    </w:p>
    <w:p w14:paraId="5DFC9B55">
      <w:pPr>
        <w:pStyle w:val="4"/>
        <w:jc w:val="center"/>
        <w:rPr>
          <w:b/>
          <w:bCs/>
          <w:color w:val="auto"/>
        </w:rPr>
      </w:pPr>
      <w:r>
        <w:rPr>
          <w:rFonts w:hint="eastAsia"/>
          <w:b/>
          <w:bCs/>
          <w:color w:val="auto"/>
        </w:rPr>
        <w:t>二、立体效果图</w:t>
      </w:r>
    </w:p>
    <w:p w14:paraId="5F660B26">
      <w:pPr>
        <w:pStyle w:val="4"/>
        <w:jc w:val="center"/>
        <w:rPr>
          <w:b/>
          <w:bCs/>
          <w:color w:val="auto"/>
        </w:rPr>
      </w:pPr>
    </w:p>
    <w:p w14:paraId="45CC3C08">
      <w:pPr>
        <w:pStyle w:val="4"/>
        <w:jc w:val="center"/>
        <w:rPr>
          <w:b/>
          <w:bCs/>
          <w:color w:val="auto"/>
        </w:rPr>
      </w:pPr>
      <w:r>
        <w:rPr>
          <w:rFonts w:hint="eastAsia"/>
          <w:b/>
          <w:bCs/>
          <w:color w:val="auto"/>
        </w:rPr>
        <w:drawing>
          <wp:inline distT="0" distB="0" distL="114300" distR="114300">
            <wp:extent cx="5844540" cy="3897630"/>
            <wp:effectExtent l="0" t="0" r="3810" b="7620"/>
            <wp:docPr id="2" name="图片 2" descr="2b4e86843d7840907f60acb9fddde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b4e86843d7840907f60acb9fdddebe0"/>
                    <pic:cNvPicPr>
                      <a:picLocks noChangeAspect="1"/>
                    </pic:cNvPicPr>
                  </pic:nvPicPr>
                  <pic:blipFill>
                    <a:blip r:embed="rId5" cstate="print"/>
                    <a:stretch>
                      <a:fillRect/>
                    </a:stretch>
                  </pic:blipFill>
                  <pic:spPr>
                    <a:xfrm>
                      <a:off x="0" y="0"/>
                      <a:ext cx="5844540" cy="3897630"/>
                    </a:xfrm>
                    <a:prstGeom prst="rect">
                      <a:avLst/>
                    </a:prstGeom>
                  </pic:spPr>
                </pic:pic>
              </a:graphicData>
            </a:graphic>
          </wp:inline>
        </w:drawing>
      </w:r>
    </w:p>
    <w:p w14:paraId="2B7FC863">
      <w:pPr>
        <w:pStyle w:val="4"/>
        <w:jc w:val="center"/>
        <w:rPr>
          <w:b/>
          <w:bCs/>
          <w:color w:val="auto"/>
        </w:rPr>
      </w:pPr>
    </w:p>
    <w:p w14:paraId="3D2F8606">
      <w:pPr>
        <w:pStyle w:val="4"/>
        <w:jc w:val="center"/>
        <w:rPr>
          <w:b/>
          <w:bCs/>
          <w:color w:val="auto"/>
        </w:rPr>
      </w:pPr>
      <w:r>
        <w:rPr>
          <w:rFonts w:hint="eastAsia"/>
          <w:b/>
          <w:bCs/>
          <w:color w:val="auto"/>
        </w:rPr>
        <w:drawing>
          <wp:inline distT="0" distB="0" distL="114300" distR="114300">
            <wp:extent cx="5687695" cy="5001895"/>
            <wp:effectExtent l="0" t="0" r="8255" b="8255"/>
            <wp:docPr id="3" name="图片 3" descr="4965355d22d840a921a9e5f785e8ec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965355d22d840a921a9e5f785e8ece9"/>
                    <pic:cNvPicPr>
                      <a:picLocks noChangeAspect="1"/>
                    </pic:cNvPicPr>
                  </pic:nvPicPr>
                  <pic:blipFill>
                    <a:blip r:embed="rId6" cstate="print"/>
                    <a:stretch>
                      <a:fillRect/>
                    </a:stretch>
                  </pic:blipFill>
                  <pic:spPr>
                    <a:xfrm>
                      <a:off x="0" y="0"/>
                      <a:ext cx="5687695" cy="5001895"/>
                    </a:xfrm>
                    <a:prstGeom prst="rect">
                      <a:avLst/>
                    </a:prstGeom>
                  </pic:spPr>
                </pic:pic>
              </a:graphicData>
            </a:graphic>
          </wp:inline>
        </w:drawing>
      </w:r>
    </w:p>
    <w:p w14:paraId="242A9475">
      <w:pPr>
        <w:rPr>
          <w:b/>
          <w:bCs/>
          <w:color w:val="auto"/>
        </w:rPr>
      </w:pPr>
    </w:p>
    <w:p w14:paraId="05594063">
      <w:pPr>
        <w:rPr>
          <w:b/>
          <w:bCs/>
          <w:color w:val="auto"/>
        </w:rPr>
      </w:pPr>
    </w:p>
    <w:p w14:paraId="323BEC34">
      <w:pPr>
        <w:rPr>
          <w:b/>
          <w:bCs/>
          <w:color w:val="auto"/>
        </w:rPr>
      </w:pPr>
    </w:p>
    <w:p w14:paraId="44B482EC">
      <w:pPr>
        <w:rPr>
          <w:b/>
          <w:bCs/>
          <w:color w:val="auto"/>
        </w:rPr>
      </w:pPr>
    </w:p>
    <w:p w14:paraId="7E613000">
      <w:pPr>
        <w:rPr>
          <w:b/>
          <w:bCs/>
          <w:color w:val="auto"/>
        </w:rPr>
      </w:pPr>
    </w:p>
    <w:p w14:paraId="684EC108">
      <w:pPr>
        <w:rPr>
          <w:b/>
          <w:bCs/>
          <w:color w:val="auto"/>
        </w:rPr>
      </w:pPr>
    </w:p>
    <w:p w14:paraId="30EB8F27">
      <w:pPr>
        <w:rPr>
          <w:b/>
          <w:bCs/>
          <w:color w:val="auto"/>
        </w:rPr>
      </w:pPr>
    </w:p>
    <w:p w14:paraId="13F1CF84">
      <w:pPr>
        <w:rPr>
          <w:b/>
          <w:bCs/>
          <w:color w:val="auto"/>
        </w:rPr>
      </w:pPr>
    </w:p>
    <w:p w14:paraId="17E32BEE">
      <w:pPr>
        <w:pStyle w:val="4"/>
        <w:jc w:val="center"/>
        <w:rPr>
          <w:b/>
          <w:bCs/>
          <w:color w:val="auto"/>
        </w:rPr>
      </w:pPr>
      <w:r>
        <w:rPr>
          <w:rFonts w:hint="eastAsia"/>
          <w:b/>
          <w:bCs/>
          <w:color w:val="auto"/>
        </w:rPr>
        <w:t>三、技术参数</w:t>
      </w:r>
    </w:p>
    <w:p w14:paraId="7EA4FCAF">
      <w:pPr>
        <w:pStyle w:val="4"/>
        <w:jc w:val="center"/>
        <w:rPr>
          <w:color w:val="auto"/>
        </w:rPr>
      </w:pPr>
      <w:r>
        <w:rPr>
          <w:rFonts w:hint="eastAsia"/>
          <w:b/>
          <w:bCs/>
          <w:color w:val="auto"/>
        </w:rPr>
        <w:t>手动密集架相关标准</w:t>
      </w:r>
    </w:p>
    <w:tbl>
      <w:tblPr>
        <w:tblStyle w:val="13"/>
        <w:tblW w:w="9434" w:type="dxa"/>
        <w:tblInd w:w="98" w:type="dxa"/>
        <w:tblLayout w:type="autofit"/>
        <w:tblCellMar>
          <w:top w:w="0" w:type="dxa"/>
          <w:left w:w="108" w:type="dxa"/>
          <w:bottom w:w="0" w:type="dxa"/>
          <w:right w:w="108" w:type="dxa"/>
        </w:tblCellMar>
      </w:tblPr>
      <w:tblGrid>
        <w:gridCol w:w="9434"/>
      </w:tblGrid>
      <w:tr w14:paraId="4A18FE00">
        <w:tblPrEx>
          <w:tblCellMar>
            <w:top w:w="0" w:type="dxa"/>
            <w:left w:w="108" w:type="dxa"/>
            <w:bottom w:w="0" w:type="dxa"/>
            <w:right w:w="108" w:type="dxa"/>
          </w:tblCellMar>
        </w:tblPrEx>
        <w:trPr>
          <w:trHeight w:val="372"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3879F">
            <w:pPr>
              <w:widowControl/>
              <w:jc w:val="left"/>
              <w:textAlignment w:val="center"/>
              <w:rPr>
                <w:rFonts w:ascii="宋体" w:hAnsi="宋体" w:cs="宋体"/>
                <w:color w:val="auto"/>
                <w:sz w:val="20"/>
              </w:rPr>
            </w:pPr>
            <w:r>
              <w:rPr>
                <w:rFonts w:hint="eastAsia" w:ascii="宋体" w:hAnsi="宋体" w:cs="宋体"/>
                <w:color w:val="auto"/>
                <w:sz w:val="20"/>
              </w:rPr>
              <w:t>1.DA/T 7-1992 直列式档案密集架</w:t>
            </w:r>
          </w:p>
        </w:tc>
      </w:tr>
      <w:tr w14:paraId="7792B929">
        <w:tblPrEx>
          <w:tblCellMar>
            <w:top w:w="0" w:type="dxa"/>
            <w:left w:w="108" w:type="dxa"/>
            <w:bottom w:w="0" w:type="dxa"/>
            <w:right w:w="108" w:type="dxa"/>
          </w:tblCellMar>
        </w:tblPrEx>
        <w:trPr>
          <w:trHeight w:val="407"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7935F">
            <w:pPr>
              <w:widowControl/>
              <w:jc w:val="left"/>
              <w:textAlignment w:val="center"/>
              <w:rPr>
                <w:rFonts w:ascii="宋体" w:hAnsi="宋体" w:cs="宋体"/>
                <w:color w:val="auto"/>
                <w:sz w:val="20"/>
              </w:rPr>
            </w:pPr>
            <w:r>
              <w:rPr>
                <w:rFonts w:hint="eastAsia" w:ascii="宋体" w:hAnsi="宋体" w:cs="宋体"/>
                <w:color w:val="auto"/>
                <w:sz w:val="20"/>
              </w:rPr>
              <w:t>2.DA/T 6-1992 档案装具</w:t>
            </w:r>
          </w:p>
        </w:tc>
      </w:tr>
      <w:tr w14:paraId="65EEFBFC">
        <w:tblPrEx>
          <w:tblCellMar>
            <w:top w:w="0" w:type="dxa"/>
            <w:left w:w="108" w:type="dxa"/>
            <w:bottom w:w="0" w:type="dxa"/>
            <w:right w:w="108" w:type="dxa"/>
          </w:tblCellMar>
        </w:tblPrEx>
        <w:trPr>
          <w:trHeight w:val="417"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210CD">
            <w:pPr>
              <w:widowControl/>
              <w:jc w:val="left"/>
              <w:textAlignment w:val="center"/>
              <w:rPr>
                <w:rFonts w:ascii="宋体" w:hAnsi="宋体" w:cs="宋体"/>
                <w:color w:val="auto"/>
                <w:sz w:val="20"/>
              </w:rPr>
            </w:pPr>
            <w:r>
              <w:rPr>
                <w:rFonts w:hint="eastAsia" w:ascii="宋体" w:hAnsi="宋体" w:cs="宋体"/>
                <w:color w:val="auto"/>
                <w:sz w:val="20"/>
              </w:rPr>
              <w:t>3.GB/T 13667.3-2013 钢制书架 第3部分：手动密集书架</w:t>
            </w:r>
          </w:p>
        </w:tc>
      </w:tr>
      <w:tr w14:paraId="04307E8F">
        <w:tblPrEx>
          <w:tblCellMar>
            <w:top w:w="0" w:type="dxa"/>
            <w:left w:w="108" w:type="dxa"/>
            <w:bottom w:w="0" w:type="dxa"/>
            <w:right w:w="108" w:type="dxa"/>
          </w:tblCellMar>
        </w:tblPrEx>
        <w:trPr>
          <w:trHeight w:val="424"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6E83B">
            <w:pPr>
              <w:widowControl/>
              <w:jc w:val="left"/>
              <w:textAlignment w:val="center"/>
              <w:rPr>
                <w:rFonts w:ascii="宋体" w:hAnsi="宋体" w:cs="宋体"/>
                <w:color w:val="auto"/>
                <w:sz w:val="20"/>
              </w:rPr>
            </w:pPr>
            <w:r>
              <w:rPr>
                <w:rFonts w:hint="eastAsia" w:ascii="宋体" w:hAnsi="宋体" w:cs="宋体"/>
                <w:color w:val="auto"/>
                <w:sz w:val="20"/>
              </w:rPr>
              <w:t>4.GB/T 13668-2015 钢制书柜、资料柜通用技术条件</w:t>
            </w:r>
          </w:p>
        </w:tc>
      </w:tr>
      <w:tr w14:paraId="270F0014">
        <w:tblPrEx>
          <w:tblCellMar>
            <w:top w:w="0" w:type="dxa"/>
            <w:left w:w="108" w:type="dxa"/>
            <w:bottom w:w="0" w:type="dxa"/>
            <w:right w:w="108" w:type="dxa"/>
          </w:tblCellMar>
        </w:tblPrEx>
        <w:trPr>
          <w:trHeight w:val="403"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60D85">
            <w:pPr>
              <w:widowControl/>
              <w:jc w:val="left"/>
              <w:textAlignment w:val="center"/>
              <w:rPr>
                <w:rFonts w:ascii="宋体" w:hAnsi="宋体" w:cs="宋体"/>
                <w:color w:val="auto"/>
                <w:sz w:val="20"/>
              </w:rPr>
            </w:pPr>
            <w:r>
              <w:rPr>
                <w:rFonts w:hint="eastAsia" w:ascii="宋体" w:hAnsi="宋体" w:cs="宋体"/>
                <w:color w:val="auto"/>
                <w:sz w:val="20"/>
              </w:rPr>
              <w:t>5.GB/T 13667.1-2015 钢制书架 第1部分：单、复柱书架</w:t>
            </w:r>
          </w:p>
        </w:tc>
      </w:tr>
      <w:tr w14:paraId="269F7577">
        <w:tblPrEx>
          <w:tblCellMar>
            <w:top w:w="0" w:type="dxa"/>
            <w:left w:w="108" w:type="dxa"/>
            <w:bottom w:w="0" w:type="dxa"/>
            <w:right w:w="108" w:type="dxa"/>
          </w:tblCellMar>
        </w:tblPrEx>
        <w:trPr>
          <w:trHeight w:val="423"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97691">
            <w:pPr>
              <w:widowControl/>
              <w:jc w:val="left"/>
              <w:textAlignment w:val="center"/>
              <w:rPr>
                <w:rFonts w:ascii="宋体" w:hAnsi="宋体" w:cs="宋体"/>
                <w:color w:val="auto"/>
                <w:sz w:val="20"/>
              </w:rPr>
            </w:pPr>
            <w:r>
              <w:rPr>
                <w:rFonts w:hint="eastAsia" w:ascii="宋体" w:hAnsi="宋体" w:cs="宋体"/>
                <w:color w:val="auto"/>
                <w:sz w:val="20"/>
              </w:rPr>
              <w:t>6.</w:t>
            </w:r>
            <w:r>
              <w:rPr>
                <w:rFonts w:hint="eastAsia" w:ascii="宋体" w:hAnsi="宋体" w:cs="宋体"/>
                <w:color w:val="auto"/>
                <w:sz w:val="20"/>
              </w:rPr>
              <w:t>GB/T 13667.2-2017 钢制书架 第2部分：积层式书架</w:t>
            </w:r>
          </w:p>
        </w:tc>
      </w:tr>
      <w:tr w14:paraId="357F3B7C">
        <w:tblPrEx>
          <w:tblCellMar>
            <w:top w:w="0" w:type="dxa"/>
            <w:left w:w="108" w:type="dxa"/>
            <w:bottom w:w="0" w:type="dxa"/>
            <w:right w:w="108" w:type="dxa"/>
          </w:tblCellMar>
        </w:tblPrEx>
        <w:trPr>
          <w:trHeight w:val="417"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675B0">
            <w:pPr>
              <w:widowControl/>
              <w:jc w:val="left"/>
              <w:textAlignment w:val="center"/>
              <w:rPr>
                <w:rFonts w:ascii="宋体" w:hAnsi="宋体" w:cs="宋体"/>
                <w:color w:val="auto"/>
                <w:sz w:val="20"/>
              </w:rPr>
            </w:pPr>
            <w:r>
              <w:rPr>
                <w:rFonts w:hint="eastAsia" w:ascii="宋体" w:hAnsi="宋体" w:cs="宋体"/>
                <w:color w:val="auto"/>
                <w:sz w:val="20"/>
              </w:rPr>
              <w:t>7.</w:t>
            </w:r>
            <w:r>
              <w:rPr>
                <w:rFonts w:hint="eastAsia" w:ascii="宋体" w:hAnsi="宋体" w:cs="宋体"/>
                <w:color w:val="auto"/>
                <w:sz w:val="20"/>
              </w:rPr>
              <w:t>GB/T 3325-2024 金属家具通用技术条件</w:t>
            </w:r>
          </w:p>
        </w:tc>
      </w:tr>
      <w:tr w14:paraId="645B2EA5">
        <w:tblPrEx>
          <w:tblCellMar>
            <w:top w:w="0" w:type="dxa"/>
            <w:left w:w="108" w:type="dxa"/>
            <w:bottom w:w="0" w:type="dxa"/>
            <w:right w:w="108" w:type="dxa"/>
          </w:tblCellMar>
        </w:tblPrEx>
        <w:trPr>
          <w:trHeight w:val="408"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B3F13">
            <w:pPr>
              <w:widowControl/>
              <w:jc w:val="left"/>
              <w:textAlignment w:val="center"/>
              <w:rPr>
                <w:rFonts w:ascii="宋体" w:hAnsi="宋体" w:cs="宋体"/>
                <w:color w:val="auto"/>
                <w:sz w:val="20"/>
              </w:rPr>
            </w:pPr>
            <w:r>
              <w:rPr>
                <w:rFonts w:hint="eastAsia" w:ascii="宋体" w:hAnsi="宋体" w:cs="宋体"/>
                <w:color w:val="auto"/>
                <w:sz w:val="20"/>
              </w:rPr>
              <w:t>8.GB/T 699-2015 优质碳素结构钢</w:t>
            </w:r>
          </w:p>
        </w:tc>
      </w:tr>
      <w:tr w14:paraId="1D1B2F4F">
        <w:tblPrEx>
          <w:tblCellMar>
            <w:top w:w="0" w:type="dxa"/>
            <w:left w:w="108" w:type="dxa"/>
            <w:bottom w:w="0" w:type="dxa"/>
            <w:right w:w="108" w:type="dxa"/>
          </w:tblCellMar>
        </w:tblPrEx>
        <w:trPr>
          <w:trHeight w:val="428"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A3FBD">
            <w:pPr>
              <w:widowControl/>
              <w:jc w:val="left"/>
              <w:textAlignment w:val="center"/>
              <w:rPr>
                <w:rFonts w:ascii="宋体" w:hAnsi="宋体" w:cs="宋体"/>
                <w:color w:val="auto"/>
                <w:sz w:val="20"/>
              </w:rPr>
            </w:pPr>
            <w:r>
              <w:rPr>
                <w:rFonts w:hint="eastAsia" w:ascii="宋体" w:hAnsi="宋体" w:cs="宋体"/>
                <w:color w:val="auto"/>
                <w:sz w:val="20"/>
              </w:rPr>
              <w:t>9.</w:t>
            </w:r>
            <w:r>
              <w:rPr>
                <w:rFonts w:hint="eastAsia" w:ascii="宋体" w:hAnsi="宋体" w:cs="宋体"/>
                <w:color w:val="auto"/>
                <w:kern w:val="0"/>
                <w:sz w:val="20"/>
              </w:rPr>
              <w:t>GB/T 711-2017</w:t>
            </w:r>
            <w:r>
              <w:rPr>
                <w:rFonts w:hint="eastAsia" w:ascii="宋体" w:hAnsi="宋体" w:cs="宋体"/>
                <w:color w:val="auto"/>
                <w:sz w:val="20"/>
              </w:rPr>
              <w:t xml:space="preserve"> 优质碳素结构钢热轧钢板和钢带</w:t>
            </w:r>
          </w:p>
        </w:tc>
      </w:tr>
      <w:tr w14:paraId="38F7A9E6">
        <w:tblPrEx>
          <w:tblCellMar>
            <w:top w:w="0" w:type="dxa"/>
            <w:left w:w="108" w:type="dxa"/>
            <w:bottom w:w="0" w:type="dxa"/>
            <w:right w:w="108" w:type="dxa"/>
          </w:tblCellMar>
        </w:tblPrEx>
        <w:trPr>
          <w:trHeight w:val="407"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070AC">
            <w:pPr>
              <w:widowControl/>
              <w:jc w:val="left"/>
              <w:textAlignment w:val="center"/>
              <w:rPr>
                <w:rFonts w:ascii="宋体" w:hAnsi="宋体" w:cs="宋体"/>
                <w:color w:val="auto"/>
                <w:sz w:val="20"/>
              </w:rPr>
            </w:pPr>
            <w:r>
              <w:rPr>
                <w:rFonts w:hint="eastAsia" w:ascii="宋体" w:hAnsi="宋体" w:cs="宋体"/>
                <w:color w:val="auto"/>
                <w:kern w:val="0"/>
                <w:sz w:val="20"/>
              </w:rPr>
              <w:t>10.GB/T 708</w:t>
            </w:r>
            <w:r>
              <w:rPr>
                <w:rFonts w:hint="eastAsia" w:ascii="宋体" w:hAnsi="宋体" w:cs="宋体"/>
                <w:color w:val="auto"/>
                <w:kern w:val="0"/>
                <w:sz w:val="20"/>
                <w:lang w:val="en-US" w:eastAsia="zh-CN"/>
              </w:rPr>
              <w:t>-2019</w:t>
            </w:r>
            <w:r>
              <w:rPr>
                <w:rFonts w:hint="eastAsia" w:ascii="宋体" w:hAnsi="宋体" w:cs="宋体"/>
                <w:color w:val="auto"/>
                <w:kern w:val="0"/>
                <w:sz w:val="20"/>
              </w:rPr>
              <w:t xml:space="preserve"> 冷轧钢板和钢带的尺寸、外形、重量及允许偏差</w:t>
            </w:r>
          </w:p>
        </w:tc>
      </w:tr>
      <w:tr w14:paraId="636A06BA">
        <w:tblPrEx>
          <w:tblCellMar>
            <w:top w:w="0" w:type="dxa"/>
            <w:left w:w="108" w:type="dxa"/>
            <w:bottom w:w="0" w:type="dxa"/>
            <w:right w:w="108" w:type="dxa"/>
          </w:tblCellMar>
        </w:tblPrEx>
        <w:trPr>
          <w:trHeight w:val="413"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55F6B">
            <w:pPr>
              <w:widowControl/>
              <w:jc w:val="left"/>
              <w:textAlignment w:val="center"/>
              <w:rPr>
                <w:rFonts w:ascii="宋体" w:hAnsi="宋体" w:cs="宋体"/>
                <w:color w:val="auto"/>
                <w:sz w:val="20"/>
              </w:rPr>
            </w:pPr>
            <w:r>
              <w:rPr>
                <w:rFonts w:hint="eastAsia" w:ascii="宋体" w:hAnsi="宋体" w:cs="宋体"/>
                <w:color w:val="auto"/>
                <w:kern w:val="0"/>
                <w:sz w:val="20"/>
              </w:rPr>
              <w:t>11.</w:t>
            </w:r>
            <w:r>
              <w:rPr>
                <w:rFonts w:hint="eastAsia" w:ascii="宋体" w:hAnsi="宋体" w:cs="宋体"/>
                <w:color w:val="auto"/>
                <w:kern w:val="0"/>
                <w:sz w:val="20"/>
              </w:rPr>
              <w:t>GB/T 1720-2020 漆膜划圈试验</w:t>
            </w:r>
          </w:p>
        </w:tc>
      </w:tr>
      <w:tr w14:paraId="4F5F2C18">
        <w:tblPrEx>
          <w:tblCellMar>
            <w:top w:w="0" w:type="dxa"/>
            <w:left w:w="108" w:type="dxa"/>
            <w:bottom w:w="0" w:type="dxa"/>
            <w:right w:w="108" w:type="dxa"/>
          </w:tblCellMar>
        </w:tblPrEx>
        <w:trPr>
          <w:trHeight w:val="418"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80F30">
            <w:pPr>
              <w:widowControl/>
              <w:jc w:val="left"/>
              <w:textAlignment w:val="center"/>
              <w:rPr>
                <w:rFonts w:ascii="宋体" w:hAnsi="宋体" w:cs="宋体"/>
                <w:color w:val="auto"/>
                <w:sz w:val="20"/>
              </w:rPr>
            </w:pPr>
            <w:r>
              <w:rPr>
                <w:rFonts w:hint="eastAsia" w:ascii="宋体" w:hAnsi="宋体" w:cs="宋体"/>
                <w:color w:val="auto"/>
                <w:kern w:val="0"/>
                <w:sz w:val="20"/>
              </w:rPr>
              <w:t>12.</w:t>
            </w:r>
            <w:r>
              <w:rPr>
                <w:rFonts w:hint="eastAsia" w:ascii="宋体" w:hAnsi="宋体" w:cs="宋体"/>
                <w:color w:val="auto"/>
                <w:kern w:val="0"/>
                <w:sz w:val="20"/>
              </w:rPr>
              <w:t>GB/T 1732-2020 漆膜耐冲击测定法</w:t>
            </w:r>
          </w:p>
        </w:tc>
      </w:tr>
      <w:tr w14:paraId="7FA277A7">
        <w:tblPrEx>
          <w:tblCellMar>
            <w:top w:w="0" w:type="dxa"/>
            <w:left w:w="108" w:type="dxa"/>
            <w:bottom w:w="0" w:type="dxa"/>
            <w:right w:w="108" w:type="dxa"/>
          </w:tblCellMar>
        </w:tblPrEx>
        <w:trPr>
          <w:trHeight w:val="411"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53940">
            <w:pPr>
              <w:widowControl/>
              <w:jc w:val="left"/>
              <w:textAlignment w:val="center"/>
              <w:rPr>
                <w:rFonts w:ascii="宋体" w:hAnsi="宋体" w:cs="宋体"/>
                <w:color w:val="auto"/>
                <w:sz w:val="20"/>
              </w:rPr>
            </w:pPr>
            <w:r>
              <w:rPr>
                <w:rFonts w:hint="eastAsia" w:ascii="宋体" w:hAnsi="宋体" w:cs="宋体"/>
                <w:color w:val="auto"/>
                <w:kern w:val="0"/>
                <w:sz w:val="20"/>
              </w:rPr>
              <w:t>13.GB/T 6807-2001 钢铁工件涂装前磷化处理技术条件</w:t>
            </w:r>
          </w:p>
        </w:tc>
      </w:tr>
      <w:tr w14:paraId="413E16DE">
        <w:tblPrEx>
          <w:tblCellMar>
            <w:top w:w="0" w:type="dxa"/>
            <w:left w:w="108" w:type="dxa"/>
            <w:bottom w:w="0" w:type="dxa"/>
            <w:right w:w="108" w:type="dxa"/>
          </w:tblCellMar>
        </w:tblPrEx>
        <w:trPr>
          <w:trHeight w:val="417"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641AD">
            <w:pPr>
              <w:widowControl/>
              <w:jc w:val="left"/>
              <w:textAlignment w:val="center"/>
              <w:rPr>
                <w:rFonts w:ascii="宋体" w:hAnsi="宋体" w:cs="宋体"/>
                <w:color w:val="auto"/>
                <w:sz w:val="20"/>
              </w:rPr>
            </w:pPr>
            <w:r>
              <w:rPr>
                <w:rFonts w:hint="eastAsia" w:ascii="宋体" w:hAnsi="宋体" w:cs="宋体"/>
                <w:color w:val="auto"/>
                <w:kern w:val="0"/>
                <w:sz w:val="20"/>
              </w:rPr>
              <w:t>14.GB/T 10857-2005 S型和C型钢制滚子链条、附件和链轮</w:t>
            </w:r>
          </w:p>
        </w:tc>
      </w:tr>
      <w:tr w14:paraId="74B7F1CC">
        <w:tblPrEx>
          <w:tblCellMar>
            <w:top w:w="0" w:type="dxa"/>
            <w:left w:w="108" w:type="dxa"/>
            <w:bottom w:w="0" w:type="dxa"/>
            <w:right w:w="108" w:type="dxa"/>
          </w:tblCellMar>
        </w:tblPrEx>
        <w:trPr>
          <w:trHeight w:val="415"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2AD5A">
            <w:pPr>
              <w:widowControl/>
              <w:jc w:val="left"/>
              <w:textAlignment w:val="center"/>
              <w:rPr>
                <w:rFonts w:ascii="宋体" w:hAnsi="宋体" w:cs="宋体"/>
                <w:color w:val="auto"/>
                <w:sz w:val="20"/>
              </w:rPr>
            </w:pPr>
            <w:r>
              <w:rPr>
                <w:rFonts w:hint="eastAsia" w:ascii="宋体" w:hAnsi="宋体" w:cs="宋体"/>
                <w:color w:val="auto"/>
                <w:kern w:val="0"/>
                <w:sz w:val="20"/>
              </w:rPr>
              <w:t>15.</w:t>
            </w:r>
            <w:r>
              <w:rPr>
                <w:rFonts w:hint="eastAsia" w:ascii="宋体" w:hAnsi="宋体" w:cs="宋体"/>
                <w:color w:val="auto"/>
                <w:kern w:val="0"/>
                <w:sz w:val="20"/>
              </w:rPr>
              <w:t>GB/T 1804-2000 一般公差 未注公差的线性和角度尺寸的公差</w:t>
            </w:r>
          </w:p>
        </w:tc>
      </w:tr>
      <w:tr w14:paraId="0E0470B7">
        <w:tblPrEx>
          <w:tblCellMar>
            <w:top w:w="0" w:type="dxa"/>
            <w:left w:w="108" w:type="dxa"/>
            <w:bottom w:w="0" w:type="dxa"/>
            <w:right w:w="108" w:type="dxa"/>
          </w:tblCellMar>
        </w:tblPrEx>
        <w:trPr>
          <w:trHeight w:val="416"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3BF83">
            <w:pPr>
              <w:widowControl/>
              <w:jc w:val="left"/>
              <w:textAlignment w:val="center"/>
              <w:rPr>
                <w:rFonts w:ascii="宋体" w:hAnsi="宋体" w:cs="宋体"/>
                <w:color w:val="auto"/>
                <w:sz w:val="20"/>
              </w:rPr>
            </w:pPr>
            <w:r>
              <w:rPr>
                <w:rFonts w:hint="eastAsia" w:ascii="宋体" w:hAnsi="宋体" w:cs="宋体"/>
                <w:color w:val="auto"/>
                <w:kern w:val="0"/>
                <w:sz w:val="20"/>
              </w:rPr>
              <w:t>16.</w:t>
            </w:r>
            <w:r>
              <w:rPr>
                <w:rFonts w:hint="eastAsia" w:ascii="宋体" w:hAnsi="宋体" w:cs="宋体"/>
                <w:color w:val="auto"/>
                <w:kern w:val="0"/>
                <w:sz w:val="20"/>
              </w:rPr>
              <w:t>GB/T 4357-2022 冷拉碳素弹簧钢丝</w:t>
            </w:r>
          </w:p>
        </w:tc>
      </w:tr>
      <w:tr w14:paraId="656FE8BE">
        <w:tblPrEx>
          <w:tblCellMar>
            <w:top w:w="0" w:type="dxa"/>
            <w:left w:w="108" w:type="dxa"/>
            <w:bottom w:w="0" w:type="dxa"/>
            <w:right w:w="108" w:type="dxa"/>
          </w:tblCellMar>
        </w:tblPrEx>
        <w:trPr>
          <w:trHeight w:val="416"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74FA2">
            <w:pPr>
              <w:widowControl/>
              <w:jc w:val="left"/>
              <w:textAlignment w:val="center"/>
              <w:rPr>
                <w:rFonts w:ascii="宋体" w:hAnsi="宋体" w:cs="宋体"/>
                <w:color w:val="auto"/>
                <w:sz w:val="20"/>
              </w:rPr>
            </w:pPr>
            <w:r>
              <w:rPr>
                <w:rFonts w:hint="eastAsia" w:ascii="宋体" w:hAnsi="宋体" w:cs="宋体"/>
                <w:color w:val="auto"/>
                <w:kern w:val="0"/>
                <w:sz w:val="20"/>
              </w:rPr>
              <w:t>17.GB/T 8162-2018 结构用无缝钢管</w:t>
            </w:r>
          </w:p>
        </w:tc>
      </w:tr>
      <w:tr w14:paraId="63B18B1B">
        <w:tblPrEx>
          <w:tblCellMar>
            <w:top w:w="0" w:type="dxa"/>
            <w:left w:w="108" w:type="dxa"/>
            <w:bottom w:w="0" w:type="dxa"/>
            <w:right w:w="108" w:type="dxa"/>
          </w:tblCellMar>
        </w:tblPrEx>
        <w:trPr>
          <w:trHeight w:val="422"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7793E">
            <w:pPr>
              <w:widowControl/>
              <w:jc w:val="left"/>
              <w:textAlignment w:val="center"/>
              <w:rPr>
                <w:rFonts w:ascii="宋体" w:hAnsi="宋体" w:cs="宋体"/>
                <w:color w:val="auto"/>
                <w:sz w:val="20"/>
              </w:rPr>
            </w:pPr>
            <w:r>
              <w:rPr>
                <w:rFonts w:hint="eastAsia" w:ascii="宋体" w:hAnsi="宋体" w:cs="宋体"/>
                <w:color w:val="auto"/>
                <w:kern w:val="0"/>
                <w:sz w:val="20"/>
              </w:rPr>
              <w:t>18.</w:t>
            </w:r>
            <w:r>
              <w:rPr>
                <w:rFonts w:hint="eastAsia" w:ascii="宋体" w:hAnsi="宋体" w:cs="宋体"/>
                <w:color w:val="auto"/>
                <w:kern w:val="0"/>
                <w:sz w:val="20"/>
              </w:rPr>
              <w:t>GB/T 9439-2023 灰铸铁件</w:t>
            </w:r>
          </w:p>
        </w:tc>
      </w:tr>
      <w:tr w14:paraId="6754056E">
        <w:tblPrEx>
          <w:tblCellMar>
            <w:top w:w="0" w:type="dxa"/>
            <w:left w:w="108" w:type="dxa"/>
            <w:bottom w:w="0" w:type="dxa"/>
            <w:right w:w="108" w:type="dxa"/>
          </w:tblCellMar>
        </w:tblPrEx>
        <w:trPr>
          <w:trHeight w:val="399"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9D926">
            <w:pPr>
              <w:widowControl/>
              <w:jc w:val="left"/>
              <w:textAlignment w:val="center"/>
              <w:rPr>
                <w:rFonts w:ascii="宋体" w:hAnsi="宋体" w:cs="宋体"/>
                <w:color w:val="auto"/>
                <w:sz w:val="20"/>
              </w:rPr>
            </w:pPr>
            <w:r>
              <w:rPr>
                <w:rFonts w:hint="eastAsia" w:ascii="宋体" w:hAnsi="宋体" w:cs="宋体"/>
                <w:color w:val="auto"/>
                <w:kern w:val="0"/>
                <w:sz w:val="20"/>
              </w:rPr>
              <w:t>19.</w:t>
            </w:r>
            <w:r>
              <w:rPr>
                <w:rFonts w:hint="eastAsia" w:ascii="宋体" w:hAnsi="宋体" w:cs="宋体"/>
                <w:color w:val="auto"/>
                <w:kern w:val="0"/>
                <w:sz w:val="20"/>
              </w:rPr>
              <w:t>GB/T 713.7-2023 承压设备用钢板和钢带 第7部分：不锈钢和耐热钢</w:t>
            </w:r>
          </w:p>
        </w:tc>
      </w:tr>
      <w:tr w14:paraId="46942AC0">
        <w:tblPrEx>
          <w:tblCellMar>
            <w:top w:w="0" w:type="dxa"/>
            <w:left w:w="108" w:type="dxa"/>
            <w:bottom w:w="0" w:type="dxa"/>
            <w:right w:w="108" w:type="dxa"/>
          </w:tblCellMar>
        </w:tblPrEx>
        <w:trPr>
          <w:trHeight w:val="433"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9B317">
            <w:pPr>
              <w:widowControl/>
              <w:jc w:val="left"/>
              <w:textAlignment w:val="center"/>
              <w:rPr>
                <w:rFonts w:ascii="宋体" w:hAnsi="宋体" w:cs="宋体"/>
                <w:color w:val="auto"/>
                <w:sz w:val="20"/>
              </w:rPr>
            </w:pPr>
            <w:r>
              <w:rPr>
                <w:rFonts w:hint="eastAsia" w:ascii="宋体" w:hAnsi="宋体" w:cs="宋体"/>
                <w:color w:val="auto"/>
                <w:kern w:val="0"/>
                <w:sz w:val="20"/>
              </w:rPr>
              <w:t>20.</w:t>
            </w:r>
            <w:r>
              <w:rPr>
                <w:rFonts w:hint="eastAsia" w:ascii="宋体" w:hAnsi="宋体" w:cs="宋体"/>
                <w:color w:val="auto"/>
                <w:kern w:val="0"/>
                <w:sz w:val="20"/>
              </w:rPr>
              <w:t>GB/T 1243-2024 传动用短节距精密滚子链、套筒链、附件和链轮</w:t>
            </w:r>
          </w:p>
        </w:tc>
      </w:tr>
      <w:tr w14:paraId="425BCEC5">
        <w:tblPrEx>
          <w:tblCellMar>
            <w:top w:w="0" w:type="dxa"/>
            <w:left w:w="108" w:type="dxa"/>
            <w:bottom w:w="0" w:type="dxa"/>
            <w:right w:w="108" w:type="dxa"/>
          </w:tblCellMar>
        </w:tblPrEx>
        <w:trPr>
          <w:trHeight w:val="397"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D7DBB">
            <w:pPr>
              <w:widowControl/>
              <w:jc w:val="left"/>
              <w:textAlignment w:val="center"/>
              <w:rPr>
                <w:rFonts w:ascii="宋体" w:hAnsi="宋体" w:cs="宋体"/>
                <w:color w:val="auto"/>
                <w:sz w:val="20"/>
              </w:rPr>
            </w:pPr>
            <w:r>
              <w:rPr>
                <w:rFonts w:hint="eastAsia" w:ascii="宋体" w:hAnsi="宋体" w:cs="宋体"/>
                <w:color w:val="auto"/>
                <w:kern w:val="0"/>
                <w:sz w:val="20"/>
              </w:rPr>
              <w:t>21</w:t>
            </w:r>
            <w:r>
              <w:rPr>
                <w:rFonts w:hint="eastAsia" w:ascii="宋体" w:hAnsi="宋体" w:cs="宋体"/>
                <w:color w:val="auto"/>
                <w:kern w:val="0"/>
                <w:sz w:val="20"/>
              </w:rPr>
              <w:t>.GB/T 5237.2-2017 铝合金建筑型材 第2部分：阳极氧化型材</w:t>
            </w:r>
          </w:p>
        </w:tc>
      </w:tr>
      <w:tr w14:paraId="2F7C825A">
        <w:tblPrEx>
          <w:tblCellMar>
            <w:top w:w="0" w:type="dxa"/>
            <w:left w:w="108" w:type="dxa"/>
            <w:bottom w:w="0" w:type="dxa"/>
            <w:right w:w="108" w:type="dxa"/>
          </w:tblCellMar>
        </w:tblPrEx>
        <w:trPr>
          <w:trHeight w:val="431"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11600">
            <w:pPr>
              <w:widowControl/>
              <w:jc w:val="left"/>
              <w:textAlignment w:val="center"/>
              <w:rPr>
                <w:rFonts w:ascii="宋体" w:hAnsi="宋体" w:cs="宋体"/>
                <w:color w:val="auto"/>
                <w:sz w:val="20"/>
              </w:rPr>
            </w:pPr>
            <w:r>
              <w:rPr>
                <w:rFonts w:hint="eastAsia" w:ascii="宋体" w:hAnsi="宋体" w:cs="宋体"/>
                <w:color w:val="auto"/>
                <w:kern w:val="0"/>
                <w:sz w:val="20"/>
              </w:rPr>
              <w:t>22.GB/T 39983-2021 滚珠圆弧导轨副 验收技术条件</w:t>
            </w:r>
          </w:p>
        </w:tc>
      </w:tr>
      <w:tr w14:paraId="673103F3">
        <w:tblPrEx>
          <w:tblCellMar>
            <w:top w:w="0" w:type="dxa"/>
            <w:left w:w="108" w:type="dxa"/>
            <w:bottom w:w="0" w:type="dxa"/>
            <w:right w:w="108" w:type="dxa"/>
          </w:tblCellMar>
        </w:tblPrEx>
        <w:trPr>
          <w:trHeight w:val="408"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E15CD">
            <w:pPr>
              <w:widowControl/>
              <w:jc w:val="left"/>
              <w:textAlignment w:val="center"/>
              <w:rPr>
                <w:rFonts w:ascii="宋体" w:hAnsi="宋体" w:cs="宋体"/>
                <w:color w:val="auto"/>
                <w:sz w:val="20"/>
              </w:rPr>
            </w:pPr>
            <w:r>
              <w:rPr>
                <w:rFonts w:hint="eastAsia" w:ascii="宋体" w:hAnsi="宋体" w:cs="宋体"/>
                <w:color w:val="auto"/>
                <w:kern w:val="0"/>
                <w:sz w:val="20"/>
              </w:rPr>
              <w:t>23.GB/T 36920-2018 锁具 术语</w:t>
            </w:r>
          </w:p>
        </w:tc>
      </w:tr>
      <w:tr w14:paraId="0DA64128">
        <w:tblPrEx>
          <w:tblCellMar>
            <w:top w:w="0" w:type="dxa"/>
            <w:left w:w="108" w:type="dxa"/>
            <w:bottom w:w="0" w:type="dxa"/>
            <w:right w:w="108" w:type="dxa"/>
          </w:tblCellMar>
        </w:tblPrEx>
        <w:trPr>
          <w:trHeight w:val="414"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9F7F3">
            <w:pPr>
              <w:widowControl/>
              <w:jc w:val="left"/>
              <w:textAlignment w:val="center"/>
              <w:rPr>
                <w:rFonts w:ascii="宋体" w:hAnsi="宋体" w:cs="宋体"/>
                <w:color w:val="auto"/>
                <w:sz w:val="20"/>
              </w:rPr>
            </w:pPr>
            <w:r>
              <w:rPr>
                <w:rFonts w:hint="eastAsia" w:ascii="宋体" w:hAnsi="宋体" w:cs="宋体"/>
                <w:color w:val="auto"/>
                <w:kern w:val="0"/>
                <w:sz w:val="20"/>
              </w:rPr>
              <w:t>24.</w:t>
            </w:r>
            <w:r>
              <w:rPr>
                <w:rFonts w:hint="eastAsia" w:ascii="宋体" w:hAnsi="宋体" w:cs="宋体"/>
                <w:color w:val="auto"/>
                <w:kern w:val="0"/>
                <w:sz w:val="20"/>
              </w:rPr>
              <w:t>GB/T 191-2025 包装储运图形符号标志</w:t>
            </w:r>
          </w:p>
        </w:tc>
      </w:tr>
      <w:tr w14:paraId="4D2F055C">
        <w:tblPrEx>
          <w:tblCellMar>
            <w:top w:w="0" w:type="dxa"/>
            <w:left w:w="108" w:type="dxa"/>
            <w:bottom w:w="0" w:type="dxa"/>
            <w:right w:w="108" w:type="dxa"/>
          </w:tblCellMar>
        </w:tblPrEx>
        <w:trPr>
          <w:trHeight w:val="407"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6F4AA">
            <w:pPr>
              <w:widowControl/>
              <w:jc w:val="left"/>
              <w:textAlignment w:val="center"/>
              <w:rPr>
                <w:rFonts w:ascii="宋体" w:hAnsi="宋体" w:cs="宋体"/>
                <w:color w:val="auto"/>
                <w:kern w:val="0"/>
                <w:sz w:val="20"/>
              </w:rPr>
            </w:pPr>
            <w:r>
              <w:rPr>
                <w:rFonts w:hint="eastAsia" w:ascii="宋体" w:hAnsi="宋体" w:cs="宋体"/>
                <w:color w:val="auto"/>
                <w:kern w:val="0"/>
                <w:sz w:val="20"/>
              </w:rPr>
              <w:t>25.</w:t>
            </w:r>
            <w:r>
              <w:rPr>
                <w:rFonts w:hint="eastAsia" w:ascii="宋体" w:hAnsi="宋体" w:cs="宋体"/>
                <w:color w:val="auto"/>
                <w:kern w:val="0"/>
                <w:sz w:val="20"/>
              </w:rPr>
              <w:t>GB/T 10125-2021 人造气氛腐蚀试验 盐雾试验</w:t>
            </w:r>
          </w:p>
        </w:tc>
      </w:tr>
      <w:tr w14:paraId="2E3BACAE">
        <w:tblPrEx>
          <w:tblCellMar>
            <w:top w:w="0" w:type="dxa"/>
            <w:left w:w="108" w:type="dxa"/>
            <w:bottom w:w="0" w:type="dxa"/>
            <w:right w:w="108" w:type="dxa"/>
          </w:tblCellMar>
        </w:tblPrEx>
        <w:trPr>
          <w:trHeight w:val="285"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87605">
            <w:pPr>
              <w:widowControl/>
              <w:jc w:val="left"/>
              <w:textAlignment w:val="center"/>
              <w:rPr>
                <w:rFonts w:ascii="宋体" w:hAnsi="宋体" w:cs="宋体"/>
                <w:color w:val="auto"/>
                <w:sz w:val="20"/>
              </w:rPr>
            </w:pPr>
            <w:r>
              <w:rPr>
                <w:rFonts w:hint="eastAsia" w:ascii="宋体" w:hAnsi="宋体" w:cs="宋体"/>
                <w:color w:val="auto"/>
                <w:kern w:val="0"/>
                <w:sz w:val="20"/>
              </w:rPr>
              <w:t>26.</w:t>
            </w:r>
            <w:r>
              <w:rPr>
                <w:rFonts w:hint="eastAsia" w:ascii="宋体" w:hAnsi="宋体" w:cs="宋体"/>
                <w:color w:val="auto"/>
                <w:kern w:val="0"/>
                <w:sz w:val="20"/>
              </w:rPr>
              <w:t>GB/T 228.1-2021 金属材料 拉伸试验 第1部分：室温试验方法</w:t>
            </w:r>
          </w:p>
        </w:tc>
      </w:tr>
      <w:tr w14:paraId="2AFC776A">
        <w:tblPrEx>
          <w:tblCellMar>
            <w:top w:w="0" w:type="dxa"/>
            <w:left w:w="108" w:type="dxa"/>
            <w:bottom w:w="0" w:type="dxa"/>
            <w:right w:w="108" w:type="dxa"/>
          </w:tblCellMar>
        </w:tblPrEx>
        <w:trPr>
          <w:trHeight w:val="233"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6FBC2">
            <w:pPr>
              <w:widowControl/>
              <w:jc w:val="left"/>
              <w:textAlignment w:val="center"/>
              <w:rPr>
                <w:rFonts w:ascii="宋体" w:hAnsi="宋体" w:cs="宋体"/>
                <w:color w:val="auto"/>
                <w:sz w:val="20"/>
              </w:rPr>
            </w:pPr>
            <w:r>
              <w:rPr>
                <w:rFonts w:hint="eastAsia" w:ascii="宋体" w:hAnsi="宋体" w:cs="宋体"/>
                <w:color w:val="auto"/>
                <w:kern w:val="0"/>
                <w:sz w:val="20"/>
              </w:rPr>
              <w:t>27.</w:t>
            </w:r>
            <w:r>
              <w:rPr>
                <w:rFonts w:hint="eastAsia" w:ascii="宋体" w:hAnsi="宋体" w:cs="宋体"/>
                <w:color w:val="auto"/>
                <w:kern w:val="0"/>
                <w:sz w:val="20"/>
              </w:rPr>
              <w:t>GB/T 8923.1-2011 涂覆涂料前钢材表面处理 表面清洁度的目视评定 第1部分：未涂覆过的钢材表面和全面清除原有涂层后的钢材表面的锈蚀等级和处理等级</w:t>
            </w:r>
          </w:p>
        </w:tc>
      </w:tr>
      <w:tr w14:paraId="58CAF41D">
        <w:tblPrEx>
          <w:tblCellMar>
            <w:top w:w="0" w:type="dxa"/>
            <w:left w:w="108" w:type="dxa"/>
            <w:bottom w:w="0" w:type="dxa"/>
            <w:right w:w="108" w:type="dxa"/>
          </w:tblCellMar>
        </w:tblPrEx>
        <w:trPr>
          <w:trHeight w:val="348" w:hRule="atLeast"/>
        </w:trPr>
        <w:tc>
          <w:tcPr>
            <w:tcW w:w="9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5056C">
            <w:pPr>
              <w:widowControl/>
              <w:jc w:val="left"/>
              <w:textAlignment w:val="center"/>
              <w:rPr>
                <w:rFonts w:ascii="宋体" w:hAnsi="宋体" w:cs="宋体"/>
                <w:color w:val="auto"/>
                <w:sz w:val="20"/>
              </w:rPr>
            </w:pPr>
            <w:r>
              <w:rPr>
                <w:rFonts w:hint="eastAsia" w:ascii="宋体" w:hAnsi="宋体" w:cs="宋体"/>
                <w:color w:val="auto"/>
                <w:kern w:val="0"/>
                <w:sz w:val="20"/>
              </w:rPr>
              <w:t>以上标准若有新的标准，按照最新的国家标准执行</w:t>
            </w:r>
          </w:p>
        </w:tc>
      </w:tr>
    </w:tbl>
    <w:p w14:paraId="32AE31E8">
      <w:pPr>
        <w:pStyle w:val="4"/>
        <w:rPr>
          <w:b/>
          <w:bCs/>
          <w:color w:val="auto"/>
        </w:rPr>
      </w:pPr>
      <w:r>
        <w:rPr>
          <w:rFonts w:hint="eastAsia"/>
          <w:b/>
          <w:bCs/>
          <w:color w:val="auto"/>
        </w:rPr>
        <w:t>采购一览表：（本项目预算金额及最高限价由采购人在采购公告中公开）</w:t>
      </w:r>
    </w:p>
    <w:tbl>
      <w:tblPr>
        <w:tblStyle w:val="14"/>
        <w:tblW w:w="10300" w:type="dxa"/>
        <w:tblInd w:w="-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1406"/>
        <w:gridCol w:w="1287"/>
        <w:gridCol w:w="1049"/>
        <w:gridCol w:w="1102"/>
        <w:gridCol w:w="1008"/>
        <w:gridCol w:w="1195"/>
        <w:gridCol w:w="2363"/>
      </w:tblGrid>
      <w:tr w14:paraId="7C83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890" w:type="dxa"/>
            <w:vAlign w:val="center"/>
          </w:tcPr>
          <w:p w14:paraId="64E8650D">
            <w:pPr>
              <w:pStyle w:val="4"/>
              <w:jc w:val="center"/>
              <w:outlineLvl w:val="1"/>
              <w:rPr>
                <w:b/>
                <w:bCs/>
                <w:color w:val="auto"/>
              </w:rPr>
            </w:pPr>
            <w:r>
              <w:rPr>
                <w:rFonts w:hint="eastAsia"/>
                <w:b/>
                <w:bCs/>
                <w:color w:val="auto"/>
              </w:rPr>
              <w:t>序号</w:t>
            </w:r>
          </w:p>
        </w:tc>
        <w:tc>
          <w:tcPr>
            <w:tcW w:w="1406" w:type="dxa"/>
            <w:vAlign w:val="center"/>
          </w:tcPr>
          <w:p w14:paraId="5876CEF1">
            <w:pPr>
              <w:pStyle w:val="4"/>
              <w:jc w:val="center"/>
              <w:outlineLvl w:val="1"/>
              <w:rPr>
                <w:b/>
                <w:bCs/>
                <w:color w:val="auto"/>
              </w:rPr>
            </w:pPr>
            <w:r>
              <w:rPr>
                <w:rFonts w:hint="eastAsia"/>
                <w:b/>
                <w:bCs/>
                <w:color w:val="auto"/>
              </w:rPr>
              <w:t>产品名称</w:t>
            </w:r>
          </w:p>
        </w:tc>
        <w:tc>
          <w:tcPr>
            <w:tcW w:w="1287" w:type="dxa"/>
            <w:vAlign w:val="center"/>
          </w:tcPr>
          <w:p w14:paraId="584BED6A">
            <w:pPr>
              <w:pStyle w:val="4"/>
              <w:jc w:val="center"/>
              <w:outlineLvl w:val="1"/>
              <w:rPr>
                <w:b/>
                <w:bCs/>
                <w:color w:val="auto"/>
              </w:rPr>
            </w:pPr>
            <w:r>
              <w:rPr>
                <w:rFonts w:hint="eastAsia"/>
                <w:b/>
                <w:bCs/>
                <w:color w:val="auto"/>
              </w:rPr>
              <w:t>规格</w:t>
            </w:r>
          </w:p>
        </w:tc>
        <w:tc>
          <w:tcPr>
            <w:tcW w:w="1049" w:type="dxa"/>
            <w:vAlign w:val="center"/>
          </w:tcPr>
          <w:p w14:paraId="481910DD">
            <w:pPr>
              <w:pStyle w:val="4"/>
              <w:jc w:val="center"/>
              <w:outlineLvl w:val="1"/>
              <w:rPr>
                <w:b/>
                <w:bCs/>
                <w:color w:val="auto"/>
              </w:rPr>
            </w:pPr>
            <w:r>
              <w:rPr>
                <w:rFonts w:hint="eastAsia"/>
                <w:b/>
                <w:bCs/>
                <w:color w:val="auto"/>
              </w:rPr>
              <w:t>数量</w:t>
            </w:r>
          </w:p>
        </w:tc>
        <w:tc>
          <w:tcPr>
            <w:tcW w:w="1102" w:type="dxa"/>
            <w:vAlign w:val="center"/>
          </w:tcPr>
          <w:p w14:paraId="6B91C3C1">
            <w:pPr>
              <w:pStyle w:val="4"/>
              <w:jc w:val="center"/>
              <w:outlineLvl w:val="1"/>
              <w:rPr>
                <w:b/>
                <w:bCs/>
                <w:color w:val="auto"/>
              </w:rPr>
            </w:pPr>
            <w:r>
              <w:rPr>
                <w:rFonts w:hint="eastAsia"/>
                <w:b/>
                <w:bCs/>
                <w:color w:val="auto"/>
              </w:rPr>
              <w:t>单位</w:t>
            </w:r>
          </w:p>
        </w:tc>
        <w:tc>
          <w:tcPr>
            <w:tcW w:w="1008" w:type="dxa"/>
            <w:vAlign w:val="center"/>
          </w:tcPr>
          <w:p w14:paraId="2C05448D">
            <w:pPr>
              <w:pStyle w:val="4"/>
              <w:jc w:val="center"/>
              <w:outlineLvl w:val="1"/>
              <w:rPr>
                <w:b/>
                <w:bCs/>
                <w:color w:val="auto"/>
              </w:rPr>
            </w:pPr>
            <w:r>
              <w:rPr>
                <w:rFonts w:hint="eastAsia"/>
                <w:b/>
                <w:bCs/>
                <w:color w:val="auto"/>
              </w:rPr>
              <w:t>单价（元）</w:t>
            </w:r>
          </w:p>
        </w:tc>
        <w:tc>
          <w:tcPr>
            <w:tcW w:w="1195" w:type="dxa"/>
            <w:vAlign w:val="center"/>
          </w:tcPr>
          <w:p w14:paraId="68939557">
            <w:pPr>
              <w:pStyle w:val="4"/>
              <w:jc w:val="center"/>
              <w:outlineLvl w:val="1"/>
              <w:rPr>
                <w:b/>
                <w:bCs/>
                <w:color w:val="auto"/>
              </w:rPr>
            </w:pPr>
            <w:r>
              <w:rPr>
                <w:rFonts w:hint="eastAsia"/>
                <w:b/>
                <w:bCs/>
                <w:color w:val="auto"/>
              </w:rPr>
              <w:t>小计（元）</w:t>
            </w:r>
          </w:p>
        </w:tc>
        <w:tc>
          <w:tcPr>
            <w:tcW w:w="2363" w:type="dxa"/>
            <w:vAlign w:val="center"/>
          </w:tcPr>
          <w:p w14:paraId="3ACF9E6A">
            <w:pPr>
              <w:pStyle w:val="4"/>
              <w:jc w:val="center"/>
              <w:outlineLvl w:val="1"/>
              <w:rPr>
                <w:b/>
                <w:bCs/>
                <w:color w:val="auto"/>
              </w:rPr>
            </w:pPr>
            <w:r>
              <w:rPr>
                <w:rFonts w:hint="eastAsia"/>
                <w:b/>
                <w:bCs/>
                <w:color w:val="auto"/>
              </w:rPr>
              <w:t>备注</w:t>
            </w:r>
          </w:p>
        </w:tc>
      </w:tr>
      <w:tr w14:paraId="0E808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890" w:type="dxa"/>
            <w:vAlign w:val="center"/>
          </w:tcPr>
          <w:p w14:paraId="24D7ADA2">
            <w:pPr>
              <w:pStyle w:val="4"/>
              <w:jc w:val="center"/>
              <w:outlineLvl w:val="1"/>
              <w:rPr>
                <w:color w:val="auto"/>
                <w:sz w:val="24"/>
                <w:szCs w:val="24"/>
              </w:rPr>
            </w:pPr>
            <w:r>
              <w:rPr>
                <w:rFonts w:hint="eastAsia"/>
                <w:color w:val="auto"/>
                <w:sz w:val="24"/>
                <w:szCs w:val="24"/>
              </w:rPr>
              <w:t>1</w:t>
            </w:r>
          </w:p>
        </w:tc>
        <w:tc>
          <w:tcPr>
            <w:tcW w:w="1406" w:type="dxa"/>
            <w:vAlign w:val="center"/>
          </w:tcPr>
          <w:p w14:paraId="772D8329">
            <w:pPr>
              <w:pStyle w:val="4"/>
              <w:jc w:val="center"/>
              <w:outlineLvl w:val="1"/>
              <w:rPr>
                <w:color w:val="auto"/>
                <w:sz w:val="24"/>
                <w:szCs w:val="24"/>
              </w:rPr>
            </w:pPr>
            <w:r>
              <w:rPr>
                <w:rFonts w:hint="eastAsia"/>
                <w:color w:val="auto"/>
                <w:sz w:val="24"/>
                <w:szCs w:val="24"/>
              </w:rPr>
              <w:t>手动密集架</w:t>
            </w:r>
          </w:p>
        </w:tc>
        <w:tc>
          <w:tcPr>
            <w:tcW w:w="1287" w:type="dxa"/>
            <w:vAlign w:val="center"/>
          </w:tcPr>
          <w:p w14:paraId="7DEB29DA">
            <w:pPr>
              <w:pStyle w:val="4"/>
              <w:jc w:val="center"/>
              <w:outlineLvl w:val="1"/>
              <w:rPr>
                <w:color w:val="auto"/>
                <w:sz w:val="24"/>
                <w:szCs w:val="24"/>
              </w:rPr>
            </w:pPr>
            <w:r>
              <w:rPr>
                <w:rFonts w:hint="eastAsia"/>
                <w:color w:val="auto"/>
                <w:sz w:val="24"/>
                <w:szCs w:val="24"/>
              </w:rPr>
              <w:t>7780*600*2500mm</w:t>
            </w:r>
          </w:p>
        </w:tc>
        <w:tc>
          <w:tcPr>
            <w:tcW w:w="1049" w:type="dxa"/>
            <w:vAlign w:val="center"/>
          </w:tcPr>
          <w:p w14:paraId="48F8D6A6">
            <w:pPr>
              <w:pStyle w:val="4"/>
              <w:jc w:val="center"/>
              <w:outlineLvl w:val="1"/>
              <w:rPr>
                <w:color w:val="auto"/>
                <w:sz w:val="24"/>
                <w:szCs w:val="24"/>
              </w:rPr>
            </w:pPr>
            <w:r>
              <w:rPr>
                <w:rFonts w:hint="eastAsia"/>
                <w:color w:val="auto"/>
                <w:sz w:val="24"/>
                <w:szCs w:val="24"/>
              </w:rPr>
              <w:t>233.4</w:t>
            </w:r>
          </w:p>
        </w:tc>
        <w:tc>
          <w:tcPr>
            <w:tcW w:w="1102" w:type="dxa"/>
            <w:vAlign w:val="center"/>
          </w:tcPr>
          <w:p w14:paraId="223E0640">
            <w:pPr>
              <w:pStyle w:val="4"/>
              <w:jc w:val="center"/>
              <w:outlineLvl w:val="1"/>
              <w:rPr>
                <w:color w:val="auto"/>
                <w:sz w:val="24"/>
                <w:szCs w:val="24"/>
              </w:rPr>
            </w:pPr>
            <w:r>
              <w:rPr>
                <w:rFonts w:hint="eastAsia"/>
                <w:color w:val="auto"/>
                <w:sz w:val="24"/>
                <w:szCs w:val="24"/>
              </w:rPr>
              <w:t>m³</w:t>
            </w:r>
          </w:p>
        </w:tc>
        <w:tc>
          <w:tcPr>
            <w:tcW w:w="1008" w:type="dxa"/>
            <w:vAlign w:val="center"/>
          </w:tcPr>
          <w:p w14:paraId="2C620A57">
            <w:pPr>
              <w:pStyle w:val="4"/>
              <w:jc w:val="center"/>
              <w:outlineLvl w:val="1"/>
              <w:rPr>
                <w:color w:val="auto"/>
                <w:sz w:val="24"/>
                <w:szCs w:val="24"/>
              </w:rPr>
            </w:pPr>
          </w:p>
        </w:tc>
        <w:tc>
          <w:tcPr>
            <w:tcW w:w="1195" w:type="dxa"/>
            <w:vAlign w:val="center"/>
          </w:tcPr>
          <w:p w14:paraId="52B53993">
            <w:pPr>
              <w:pStyle w:val="4"/>
              <w:jc w:val="center"/>
              <w:outlineLvl w:val="1"/>
              <w:rPr>
                <w:color w:val="auto"/>
                <w:sz w:val="24"/>
                <w:szCs w:val="24"/>
              </w:rPr>
            </w:pPr>
          </w:p>
        </w:tc>
        <w:tc>
          <w:tcPr>
            <w:tcW w:w="2363" w:type="dxa"/>
            <w:vAlign w:val="center"/>
          </w:tcPr>
          <w:p w14:paraId="32C2C045">
            <w:pPr>
              <w:widowControl/>
              <w:jc w:val="center"/>
              <w:textAlignment w:val="center"/>
              <w:rPr>
                <w:rFonts w:ascii="宋体" w:hAnsi="宋体" w:cs="宋体"/>
                <w:color w:val="auto"/>
                <w:kern w:val="0"/>
                <w:sz w:val="24"/>
                <w:szCs w:val="24"/>
              </w:rPr>
            </w:pPr>
          </w:p>
        </w:tc>
      </w:tr>
      <w:tr w14:paraId="26E43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890" w:type="dxa"/>
            <w:vAlign w:val="center"/>
          </w:tcPr>
          <w:p w14:paraId="0E0CAFCE">
            <w:pPr>
              <w:pStyle w:val="4"/>
              <w:jc w:val="center"/>
              <w:outlineLvl w:val="1"/>
              <w:rPr>
                <w:color w:val="auto"/>
                <w:sz w:val="24"/>
                <w:szCs w:val="24"/>
              </w:rPr>
            </w:pPr>
            <w:r>
              <w:rPr>
                <w:rFonts w:hint="eastAsia"/>
                <w:color w:val="auto"/>
                <w:sz w:val="24"/>
                <w:szCs w:val="24"/>
              </w:rPr>
              <w:t>2</w:t>
            </w:r>
          </w:p>
        </w:tc>
        <w:tc>
          <w:tcPr>
            <w:tcW w:w="1406" w:type="dxa"/>
            <w:vAlign w:val="center"/>
          </w:tcPr>
          <w:p w14:paraId="555CC54C">
            <w:pPr>
              <w:pStyle w:val="4"/>
              <w:jc w:val="center"/>
              <w:outlineLvl w:val="1"/>
              <w:rPr>
                <w:color w:val="auto"/>
                <w:sz w:val="24"/>
                <w:szCs w:val="24"/>
              </w:rPr>
            </w:pPr>
            <w:r>
              <w:rPr>
                <w:rFonts w:hint="eastAsia"/>
                <w:color w:val="auto"/>
                <w:sz w:val="24"/>
                <w:szCs w:val="24"/>
              </w:rPr>
              <w:t>手动密集架</w:t>
            </w:r>
          </w:p>
        </w:tc>
        <w:tc>
          <w:tcPr>
            <w:tcW w:w="1287" w:type="dxa"/>
            <w:vAlign w:val="center"/>
          </w:tcPr>
          <w:p w14:paraId="1120E3A8">
            <w:pPr>
              <w:pStyle w:val="4"/>
              <w:jc w:val="center"/>
              <w:outlineLvl w:val="1"/>
              <w:rPr>
                <w:color w:val="auto"/>
                <w:sz w:val="24"/>
                <w:szCs w:val="24"/>
              </w:rPr>
            </w:pPr>
            <w:r>
              <w:rPr>
                <w:rFonts w:hint="eastAsia"/>
                <w:color w:val="auto"/>
                <w:sz w:val="24"/>
                <w:szCs w:val="24"/>
              </w:rPr>
              <w:t>7780*1070*2500mm</w:t>
            </w:r>
          </w:p>
        </w:tc>
        <w:tc>
          <w:tcPr>
            <w:tcW w:w="1049" w:type="dxa"/>
            <w:vAlign w:val="center"/>
          </w:tcPr>
          <w:p w14:paraId="49F88CBE">
            <w:pPr>
              <w:pStyle w:val="4"/>
              <w:jc w:val="center"/>
              <w:outlineLvl w:val="1"/>
              <w:rPr>
                <w:color w:val="auto"/>
                <w:sz w:val="24"/>
                <w:szCs w:val="24"/>
              </w:rPr>
            </w:pPr>
            <w:r>
              <w:rPr>
                <w:rFonts w:hint="eastAsia"/>
                <w:color w:val="auto"/>
                <w:sz w:val="24"/>
                <w:szCs w:val="24"/>
              </w:rPr>
              <w:t>20.81</w:t>
            </w:r>
          </w:p>
        </w:tc>
        <w:tc>
          <w:tcPr>
            <w:tcW w:w="1102" w:type="dxa"/>
            <w:vAlign w:val="center"/>
          </w:tcPr>
          <w:p w14:paraId="19ACAD48">
            <w:pPr>
              <w:pStyle w:val="4"/>
              <w:jc w:val="center"/>
              <w:outlineLvl w:val="1"/>
              <w:rPr>
                <w:color w:val="auto"/>
                <w:sz w:val="24"/>
                <w:szCs w:val="24"/>
              </w:rPr>
            </w:pPr>
            <w:r>
              <w:rPr>
                <w:rFonts w:hint="eastAsia"/>
                <w:color w:val="auto"/>
                <w:sz w:val="24"/>
                <w:szCs w:val="24"/>
              </w:rPr>
              <w:t>m³</w:t>
            </w:r>
          </w:p>
        </w:tc>
        <w:tc>
          <w:tcPr>
            <w:tcW w:w="1008" w:type="dxa"/>
            <w:vAlign w:val="center"/>
          </w:tcPr>
          <w:p w14:paraId="09E85883">
            <w:pPr>
              <w:pStyle w:val="4"/>
              <w:jc w:val="center"/>
              <w:outlineLvl w:val="1"/>
              <w:rPr>
                <w:color w:val="auto"/>
                <w:sz w:val="24"/>
                <w:szCs w:val="24"/>
              </w:rPr>
            </w:pPr>
          </w:p>
        </w:tc>
        <w:tc>
          <w:tcPr>
            <w:tcW w:w="1195" w:type="dxa"/>
            <w:vAlign w:val="center"/>
          </w:tcPr>
          <w:p w14:paraId="6032538B">
            <w:pPr>
              <w:pStyle w:val="4"/>
              <w:jc w:val="center"/>
              <w:outlineLvl w:val="1"/>
              <w:rPr>
                <w:color w:val="auto"/>
                <w:sz w:val="24"/>
                <w:szCs w:val="24"/>
              </w:rPr>
            </w:pPr>
          </w:p>
        </w:tc>
        <w:tc>
          <w:tcPr>
            <w:tcW w:w="2363" w:type="dxa"/>
            <w:vAlign w:val="center"/>
          </w:tcPr>
          <w:p w14:paraId="5185B32A">
            <w:pPr>
              <w:widowControl/>
              <w:jc w:val="center"/>
              <w:textAlignment w:val="center"/>
              <w:rPr>
                <w:rFonts w:ascii="宋体" w:hAnsi="宋体" w:cs="宋体"/>
                <w:color w:val="auto"/>
                <w:kern w:val="0"/>
                <w:sz w:val="24"/>
                <w:szCs w:val="24"/>
              </w:rPr>
            </w:pPr>
          </w:p>
        </w:tc>
      </w:tr>
      <w:tr w14:paraId="07034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2" w:hRule="atLeast"/>
        </w:trPr>
        <w:tc>
          <w:tcPr>
            <w:tcW w:w="890" w:type="dxa"/>
            <w:vAlign w:val="center"/>
          </w:tcPr>
          <w:p w14:paraId="02F446BB">
            <w:pPr>
              <w:pStyle w:val="4"/>
              <w:jc w:val="center"/>
              <w:outlineLvl w:val="1"/>
              <w:rPr>
                <w:color w:val="auto"/>
                <w:sz w:val="24"/>
                <w:szCs w:val="24"/>
              </w:rPr>
            </w:pPr>
            <w:r>
              <w:rPr>
                <w:rFonts w:hint="eastAsia"/>
                <w:color w:val="auto"/>
                <w:sz w:val="24"/>
                <w:szCs w:val="24"/>
              </w:rPr>
              <w:t>3</w:t>
            </w:r>
          </w:p>
        </w:tc>
        <w:tc>
          <w:tcPr>
            <w:tcW w:w="1406" w:type="dxa"/>
            <w:vAlign w:val="center"/>
          </w:tcPr>
          <w:p w14:paraId="05E86749">
            <w:pPr>
              <w:pStyle w:val="4"/>
              <w:jc w:val="center"/>
              <w:outlineLvl w:val="1"/>
              <w:rPr>
                <w:color w:val="auto"/>
                <w:sz w:val="24"/>
                <w:szCs w:val="24"/>
              </w:rPr>
            </w:pPr>
            <w:r>
              <w:rPr>
                <w:rFonts w:hint="eastAsia"/>
                <w:color w:val="auto"/>
                <w:sz w:val="24"/>
                <w:szCs w:val="24"/>
              </w:rPr>
              <w:t>五节档案柜及档案搬迁整理上架</w:t>
            </w:r>
          </w:p>
        </w:tc>
        <w:tc>
          <w:tcPr>
            <w:tcW w:w="1287" w:type="dxa"/>
            <w:vAlign w:val="center"/>
          </w:tcPr>
          <w:p w14:paraId="6E589203">
            <w:pPr>
              <w:pStyle w:val="4"/>
              <w:jc w:val="center"/>
              <w:outlineLvl w:val="1"/>
              <w:rPr>
                <w:color w:val="auto"/>
                <w:sz w:val="24"/>
                <w:szCs w:val="24"/>
              </w:rPr>
            </w:pPr>
          </w:p>
        </w:tc>
        <w:tc>
          <w:tcPr>
            <w:tcW w:w="1049" w:type="dxa"/>
            <w:vAlign w:val="center"/>
          </w:tcPr>
          <w:p w14:paraId="53CD9E29">
            <w:pPr>
              <w:pStyle w:val="4"/>
              <w:jc w:val="center"/>
              <w:outlineLvl w:val="1"/>
              <w:rPr>
                <w:rFonts w:hint="eastAsia" w:eastAsia="宋体"/>
                <w:color w:val="auto"/>
                <w:sz w:val="24"/>
                <w:szCs w:val="24"/>
                <w:lang w:val="en-US" w:eastAsia="zh-CN"/>
              </w:rPr>
            </w:pPr>
            <w:r>
              <w:rPr>
                <w:rFonts w:hint="eastAsia"/>
                <w:color w:val="auto"/>
                <w:sz w:val="24"/>
                <w:szCs w:val="24"/>
                <w:lang w:val="en-US" w:eastAsia="zh-CN"/>
              </w:rPr>
              <w:t>1</w:t>
            </w:r>
          </w:p>
        </w:tc>
        <w:tc>
          <w:tcPr>
            <w:tcW w:w="1102" w:type="dxa"/>
            <w:vAlign w:val="center"/>
          </w:tcPr>
          <w:p w14:paraId="5ABBCE04">
            <w:pPr>
              <w:pStyle w:val="4"/>
              <w:jc w:val="center"/>
              <w:outlineLvl w:val="1"/>
              <w:rPr>
                <w:rFonts w:hint="eastAsia" w:eastAsia="宋体"/>
                <w:color w:val="auto"/>
                <w:sz w:val="24"/>
                <w:szCs w:val="24"/>
                <w:lang w:eastAsia="zh-CN"/>
              </w:rPr>
            </w:pPr>
            <w:r>
              <w:rPr>
                <w:rFonts w:hint="eastAsia"/>
                <w:color w:val="auto"/>
                <w:sz w:val="24"/>
                <w:szCs w:val="24"/>
                <w:lang w:eastAsia="zh-CN"/>
              </w:rPr>
              <w:t>批</w:t>
            </w:r>
          </w:p>
        </w:tc>
        <w:tc>
          <w:tcPr>
            <w:tcW w:w="1008" w:type="dxa"/>
            <w:vAlign w:val="center"/>
          </w:tcPr>
          <w:p w14:paraId="0FB9EB93">
            <w:pPr>
              <w:pStyle w:val="4"/>
              <w:jc w:val="center"/>
              <w:outlineLvl w:val="1"/>
              <w:rPr>
                <w:color w:val="auto"/>
                <w:sz w:val="24"/>
                <w:szCs w:val="24"/>
              </w:rPr>
            </w:pPr>
          </w:p>
        </w:tc>
        <w:tc>
          <w:tcPr>
            <w:tcW w:w="1195" w:type="dxa"/>
            <w:vAlign w:val="center"/>
          </w:tcPr>
          <w:p w14:paraId="4EE930A9">
            <w:pPr>
              <w:pStyle w:val="4"/>
              <w:jc w:val="center"/>
              <w:outlineLvl w:val="1"/>
              <w:rPr>
                <w:color w:val="auto"/>
                <w:sz w:val="24"/>
                <w:szCs w:val="24"/>
              </w:rPr>
            </w:pPr>
          </w:p>
        </w:tc>
        <w:tc>
          <w:tcPr>
            <w:tcW w:w="2363" w:type="dxa"/>
            <w:vAlign w:val="center"/>
          </w:tcPr>
          <w:p w14:paraId="7D606D1B">
            <w:pPr>
              <w:widowControl/>
              <w:spacing w:beforeAutospacing="1" w:afterAutospacing="1"/>
              <w:rPr>
                <w:rFonts w:hint="default" w:ascii="宋体" w:hAnsi="宋体" w:eastAsia="宋体" w:cs="宋体"/>
                <w:color w:val="auto"/>
                <w:kern w:val="0"/>
                <w:sz w:val="24"/>
                <w:szCs w:val="24"/>
                <w:lang w:val="en-US" w:eastAsia="zh-CN"/>
              </w:rPr>
            </w:pPr>
            <w:r>
              <w:rPr>
                <w:rFonts w:hint="eastAsia" w:ascii="宋体" w:hAnsi="宋体" w:eastAsia="宋体"/>
                <w:color w:val="auto"/>
                <w:sz w:val="24"/>
                <w:szCs w:val="24"/>
                <w:lang w:val="en-US" w:eastAsia="zh-CN"/>
              </w:rPr>
              <w:t>搬迁内容：102组五节档案柜内的档案含柜子、3张办公桌、2张椅子</w:t>
            </w:r>
          </w:p>
        </w:tc>
      </w:tr>
    </w:tbl>
    <w:p w14:paraId="57C9482D">
      <w:pPr>
        <w:rPr>
          <w:b/>
          <w:bCs/>
          <w:color w:val="auto"/>
        </w:rPr>
      </w:pPr>
    </w:p>
    <w:p w14:paraId="68A51D17">
      <w:pPr>
        <w:pStyle w:val="2"/>
        <w:rPr>
          <w:color w:val="auto"/>
        </w:rPr>
      </w:pPr>
    </w:p>
    <w:p w14:paraId="32504E60">
      <w:pPr>
        <w:pStyle w:val="4"/>
        <w:jc w:val="center"/>
        <w:rPr>
          <w:b/>
          <w:bCs/>
          <w:color w:val="auto"/>
        </w:rPr>
      </w:pPr>
    </w:p>
    <w:p w14:paraId="161A5937">
      <w:pPr>
        <w:rPr>
          <w:b/>
          <w:bCs/>
          <w:color w:val="auto"/>
        </w:rPr>
      </w:pPr>
    </w:p>
    <w:p w14:paraId="7A59B753">
      <w:pPr>
        <w:pStyle w:val="2"/>
        <w:rPr>
          <w:b/>
          <w:bCs/>
          <w:color w:val="auto"/>
        </w:rPr>
      </w:pPr>
    </w:p>
    <w:p w14:paraId="4CE3AAFA">
      <w:pPr>
        <w:rPr>
          <w:b/>
          <w:bCs/>
          <w:color w:val="auto"/>
        </w:rPr>
      </w:pPr>
    </w:p>
    <w:p w14:paraId="6C8702D5">
      <w:pPr>
        <w:pStyle w:val="2"/>
        <w:rPr>
          <w:b/>
          <w:bCs/>
          <w:color w:val="auto"/>
        </w:rPr>
      </w:pPr>
    </w:p>
    <w:p w14:paraId="06FA2C37">
      <w:pPr>
        <w:rPr>
          <w:b/>
          <w:bCs/>
          <w:color w:val="auto"/>
        </w:rPr>
      </w:pPr>
    </w:p>
    <w:p w14:paraId="291D3EBA">
      <w:pPr>
        <w:pStyle w:val="2"/>
        <w:rPr>
          <w:color w:val="auto"/>
        </w:rPr>
      </w:pPr>
    </w:p>
    <w:p w14:paraId="306B68DB">
      <w:pPr>
        <w:rPr>
          <w:rFonts w:hint="eastAsia"/>
          <w:b/>
          <w:bCs/>
          <w:color w:val="auto"/>
        </w:rPr>
      </w:pPr>
      <w:r>
        <w:rPr>
          <w:rFonts w:hint="eastAsia"/>
          <w:b/>
          <w:bCs/>
          <w:color w:val="auto"/>
        </w:rPr>
        <w:br w:type="page"/>
      </w:r>
    </w:p>
    <w:p w14:paraId="665FA616">
      <w:pPr>
        <w:pStyle w:val="4"/>
        <w:jc w:val="center"/>
        <w:rPr>
          <w:color w:val="auto"/>
        </w:rPr>
      </w:pPr>
      <w:r>
        <w:rPr>
          <w:rFonts w:hint="eastAsia"/>
          <w:b/>
          <w:bCs/>
          <w:color w:val="auto"/>
        </w:rPr>
        <w:t>手动型档案密集架架体主要部件结构及技术要求</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7672"/>
      </w:tblGrid>
      <w:tr w14:paraId="2312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45FF5252">
            <w:pPr>
              <w:pStyle w:val="17"/>
              <w:widowControl/>
              <w:spacing w:line="288" w:lineRule="auto"/>
              <w:jc w:val="left"/>
              <w:rPr>
                <w:rFonts w:ascii="宋体" w:hAnsi="宋体" w:cs="宋体"/>
                <w:b/>
                <w:bCs/>
                <w:color w:val="auto"/>
                <w:szCs w:val="21"/>
              </w:rPr>
            </w:pPr>
            <w:r>
              <w:rPr>
                <w:rFonts w:hint="eastAsia" w:ascii="宋体" w:hAnsi="宋体" w:cs="宋体"/>
                <w:b/>
                <w:bCs/>
                <w:color w:val="auto"/>
                <w:szCs w:val="21"/>
              </w:rPr>
              <w:t>架体结构名称</w:t>
            </w:r>
          </w:p>
        </w:tc>
        <w:tc>
          <w:tcPr>
            <w:tcW w:w="7672" w:type="dxa"/>
          </w:tcPr>
          <w:p w14:paraId="56113883">
            <w:pPr>
              <w:pStyle w:val="17"/>
              <w:widowControl/>
              <w:spacing w:line="288" w:lineRule="auto"/>
              <w:jc w:val="center"/>
              <w:rPr>
                <w:rFonts w:ascii="宋体" w:hAnsi="宋体" w:cs="宋体"/>
                <w:b/>
                <w:bCs/>
                <w:color w:val="auto"/>
                <w:szCs w:val="21"/>
              </w:rPr>
            </w:pPr>
            <w:r>
              <w:rPr>
                <w:rFonts w:hint="eastAsia" w:ascii="宋体" w:hAnsi="宋体" w:cs="宋体"/>
                <w:b/>
                <w:bCs/>
                <w:color w:val="auto"/>
                <w:szCs w:val="21"/>
              </w:rPr>
              <w:t>具 体 要 求</w:t>
            </w:r>
          </w:p>
        </w:tc>
      </w:tr>
      <w:tr w14:paraId="084DB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614929BC">
            <w:pPr>
              <w:pStyle w:val="17"/>
              <w:widowControl/>
              <w:spacing w:line="288" w:lineRule="auto"/>
              <w:jc w:val="left"/>
              <w:rPr>
                <w:rFonts w:ascii="宋体" w:hAnsi="宋体" w:cs="宋体"/>
                <w:color w:val="auto"/>
                <w:szCs w:val="21"/>
              </w:rPr>
            </w:pPr>
            <w:r>
              <w:rPr>
                <w:rFonts w:hint="eastAsia" w:ascii="宋体" w:hAnsi="宋体" w:cs="宋体"/>
                <w:color w:val="auto"/>
                <w:szCs w:val="21"/>
              </w:rPr>
              <w:t>*材料及工艺</w:t>
            </w:r>
          </w:p>
        </w:tc>
        <w:tc>
          <w:tcPr>
            <w:tcW w:w="7672" w:type="dxa"/>
          </w:tcPr>
          <w:p w14:paraId="45D95091">
            <w:pPr>
              <w:pStyle w:val="12"/>
              <w:spacing w:line="288" w:lineRule="auto"/>
              <w:ind w:left="0" w:leftChars="0" w:firstLine="0" w:firstLineChars="0"/>
              <w:rPr>
                <w:rFonts w:ascii="宋体" w:hAnsi="宋体" w:cs="宋体"/>
                <w:color w:val="auto"/>
                <w:szCs w:val="21"/>
              </w:rPr>
            </w:pPr>
            <w:r>
              <w:rPr>
                <w:rFonts w:hint="eastAsia" w:ascii="宋体" w:hAnsi="宋体" w:cs="宋体"/>
                <w:color w:val="auto"/>
                <w:szCs w:val="21"/>
              </w:rPr>
              <w:t>表面处理采用静电塑粉喷塑工艺，工件表面处理采用环保型硅烷处理剂助洗脱脂、磷酸除锈、锌系薄膜型磷化、钝化、最后粉末金属喷涂。涂料为不含三酸异氰肝油脂（TGIC）的环氧树脂和聚脂树脂只混合型热固性粉末涂料，架体整体选用优质冷轧钢板（宝钢或同等及以上档次品牌）。</w:t>
            </w:r>
            <w:r>
              <w:rPr>
                <w:rFonts w:hint="eastAsia" w:ascii="宋体" w:hAnsi="宋体" w:cs="宋体"/>
                <w:color w:val="auto"/>
                <w:szCs w:val="21"/>
                <w:lang w:eastAsia="zh-CN"/>
              </w:rPr>
              <w:t>颜色可选。</w:t>
            </w:r>
            <w:r>
              <w:rPr>
                <w:rFonts w:hint="eastAsia" w:ascii="宋体" w:hAnsi="宋体" w:cs="宋体"/>
                <w:b/>
                <w:bCs/>
                <w:color w:val="auto"/>
                <w:szCs w:val="21"/>
              </w:rPr>
              <w:t>（</w:t>
            </w:r>
            <w:r>
              <w:rPr>
                <w:rFonts w:hint="eastAsia" w:ascii="宋体" w:hAnsi="宋体" w:cs="宋体"/>
                <w:b/>
                <w:bCs/>
                <w:color w:val="auto"/>
                <w:szCs w:val="21"/>
                <w:lang w:eastAsia="zh-CN"/>
              </w:rPr>
              <w:t>供应商需提供由第三方检测机构出具的</w:t>
            </w:r>
            <w:r>
              <w:rPr>
                <w:rFonts w:hint="eastAsia" w:ascii="宋体" w:hAnsi="宋体" w:cs="宋体"/>
                <w:b/>
                <w:bCs/>
                <w:color w:val="auto"/>
                <w:szCs w:val="21"/>
              </w:rPr>
              <w:t>塑粉（涂层）性能检测报告、检验依据GB/T 9286-2021《色漆和清漆 划格试验》GB/T1732-2020《漆膜耐冲击测定法》GB/T6739-2022《色漆和清漆 铅笔法测定漆膜硬度》</w:t>
            </w:r>
            <w:r>
              <w:rPr>
                <w:rFonts w:hint="eastAsia" w:ascii="宋体" w:hAnsi="宋体" w:cs="宋体"/>
                <w:b/>
                <w:bCs/>
                <w:color w:val="auto"/>
                <w:szCs w:val="21"/>
                <w:lang w:eastAsia="zh-CN"/>
              </w:rPr>
              <w:t>，</w:t>
            </w:r>
            <w:r>
              <w:rPr>
                <w:rFonts w:hint="eastAsia" w:ascii="宋体" w:hAnsi="宋体" w:cs="宋体"/>
                <w:b/>
                <w:bCs/>
                <w:color w:val="auto"/>
                <w:szCs w:val="21"/>
              </w:rPr>
              <w:t>并提供网络查询截图）。</w:t>
            </w:r>
          </w:p>
        </w:tc>
      </w:tr>
      <w:tr w14:paraId="3E453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09ACAF8E">
            <w:pPr>
              <w:pStyle w:val="17"/>
              <w:widowControl/>
              <w:spacing w:line="288" w:lineRule="auto"/>
              <w:jc w:val="left"/>
              <w:rPr>
                <w:rFonts w:ascii="宋体" w:hAnsi="宋体" w:cs="宋体"/>
                <w:color w:val="auto"/>
                <w:szCs w:val="21"/>
              </w:rPr>
            </w:pPr>
            <w:r>
              <w:rPr>
                <w:rFonts w:hint="eastAsia" w:ascii="宋体" w:hAnsi="宋体" w:cs="宋体"/>
                <w:color w:val="auto"/>
                <w:szCs w:val="21"/>
              </w:rPr>
              <w:t>*密集架结构</w:t>
            </w:r>
          </w:p>
        </w:tc>
        <w:tc>
          <w:tcPr>
            <w:tcW w:w="7672" w:type="dxa"/>
          </w:tcPr>
          <w:p w14:paraId="611D9288">
            <w:pPr>
              <w:pStyle w:val="17"/>
              <w:widowControl/>
              <w:spacing w:line="288" w:lineRule="auto"/>
              <w:jc w:val="left"/>
              <w:rPr>
                <w:rFonts w:ascii="宋体" w:hAnsi="宋体" w:cs="宋体"/>
                <w:color w:val="auto"/>
                <w:szCs w:val="21"/>
              </w:rPr>
            </w:pPr>
            <w:r>
              <w:rPr>
                <w:rFonts w:hint="eastAsia" w:ascii="宋体" w:hAnsi="宋体" w:cs="宋体"/>
                <w:color w:val="auto"/>
                <w:szCs w:val="21"/>
              </w:rPr>
              <w:t xml:space="preserve">档案密集架采用二柱式组合结构，每层二块挂板，二块隔板，每节单面6层双面12层。架体底座折弯成型高度≤150mm，隔板折弯成型厚度25 mm，顶板折弯成型厚度30 mm，每层净空高度为≥340mm。每列设有锁紧装置，当工作人员进入存储设备工作时，将锁紧装置扭到锁紧位置，此时其他人员无法摇动存储设备，以保证架内人员的安全。每组存储设备边列装有锁具，其闭合锁住后，形成一个封闭的整体。 </w:t>
            </w:r>
            <w:r>
              <w:rPr>
                <w:rFonts w:hint="eastAsia" w:ascii="宋体" w:hAnsi="宋体" w:cs="宋体"/>
                <w:b/>
                <w:bCs/>
                <w:color w:val="auto"/>
                <w:szCs w:val="21"/>
              </w:rPr>
              <w:t>（</w:t>
            </w:r>
            <w:r>
              <w:rPr>
                <w:rFonts w:hint="eastAsia" w:ascii="宋体" w:hAnsi="宋体" w:cs="宋体"/>
                <w:b/>
                <w:bCs/>
                <w:color w:val="auto"/>
                <w:szCs w:val="21"/>
                <w:lang w:eastAsia="zh-CN"/>
              </w:rPr>
              <w:t>供应商需提供由第三方检测机构出具的</w:t>
            </w:r>
            <w:r>
              <w:rPr>
                <w:rFonts w:hint="eastAsia" w:ascii="宋体" w:hAnsi="宋体" w:cs="宋体"/>
                <w:b/>
                <w:bCs/>
                <w:color w:val="auto"/>
                <w:szCs w:val="21"/>
              </w:rPr>
              <w:t>手动密集架检验报告；检验依据为GB/T13667.3-2013《钢制书架 第3部分：手动密集书架》复印件</w:t>
            </w:r>
            <w:r>
              <w:rPr>
                <w:rFonts w:hint="eastAsia" w:ascii="宋体" w:hAnsi="宋体" w:cs="宋体"/>
                <w:b/>
                <w:bCs/>
                <w:color w:val="auto"/>
                <w:szCs w:val="21"/>
                <w:lang w:eastAsia="zh-CN"/>
              </w:rPr>
              <w:t>，</w:t>
            </w:r>
            <w:r>
              <w:rPr>
                <w:rFonts w:hint="eastAsia" w:ascii="宋体" w:hAnsi="宋体" w:cs="宋体"/>
                <w:b/>
                <w:bCs/>
                <w:color w:val="auto"/>
                <w:szCs w:val="21"/>
              </w:rPr>
              <w:t>并提供网络查询截图）</w:t>
            </w:r>
          </w:p>
        </w:tc>
      </w:tr>
      <w:tr w14:paraId="3F47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6B13639E">
            <w:pPr>
              <w:pStyle w:val="17"/>
              <w:widowControl/>
              <w:spacing w:line="288" w:lineRule="auto"/>
              <w:jc w:val="left"/>
              <w:rPr>
                <w:rFonts w:ascii="宋体" w:hAnsi="宋体" w:cs="宋体"/>
                <w:bCs/>
                <w:color w:val="auto"/>
                <w:szCs w:val="21"/>
              </w:rPr>
            </w:pPr>
            <w:r>
              <w:rPr>
                <w:rFonts w:hint="eastAsia" w:ascii="宋体" w:hAnsi="宋体" w:cs="宋体"/>
                <w:bCs/>
                <w:color w:val="auto"/>
                <w:szCs w:val="21"/>
              </w:rPr>
              <w:t>*侧面板</w:t>
            </w:r>
          </w:p>
        </w:tc>
        <w:tc>
          <w:tcPr>
            <w:tcW w:w="7672" w:type="dxa"/>
          </w:tcPr>
          <w:p w14:paraId="45C9DDF0">
            <w:pPr>
              <w:pStyle w:val="17"/>
              <w:widowControl/>
              <w:spacing w:line="288" w:lineRule="auto"/>
              <w:jc w:val="left"/>
              <w:rPr>
                <w:rFonts w:ascii="宋体" w:hAnsi="宋体" w:cs="宋体"/>
                <w:bCs/>
                <w:color w:val="auto"/>
                <w:szCs w:val="21"/>
              </w:rPr>
            </w:pPr>
            <w:r>
              <w:rPr>
                <w:rFonts w:hint="eastAsia" w:ascii="宋体" w:hAnsi="宋体" w:cs="宋体"/>
                <w:color w:val="auto"/>
                <w:szCs w:val="21"/>
              </w:rPr>
              <w:t>采用≥1.0mm 冷轧板形状成平面，两旁应采用斜角整体设计。</w:t>
            </w:r>
            <w:r>
              <w:rPr>
                <w:rFonts w:hint="eastAsia" w:ascii="宋体" w:hAnsi="宋体" w:cs="宋体"/>
                <w:b/>
                <w:bCs/>
                <w:color w:val="auto"/>
                <w:szCs w:val="21"/>
              </w:rPr>
              <w:t>（提供第三方具有 CNAS或CMA资质的质量检测中心出具的侧面板检验报告；检验依据为GB/T228.1-2021《金属材料 拉伸试验 第1部分：室温试验方法》GB/T13667.3-2013《钢制书架 第3部分：手动密集书架》复印件</w:t>
            </w:r>
            <w:r>
              <w:rPr>
                <w:rFonts w:hint="eastAsia" w:ascii="宋体" w:hAnsi="宋体" w:cs="宋体"/>
                <w:b/>
                <w:bCs/>
                <w:color w:val="auto"/>
                <w:szCs w:val="21"/>
                <w:lang w:eastAsia="zh-CN"/>
              </w:rPr>
              <w:t>，</w:t>
            </w:r>
            <w:r>
              <w:rPr>
                <w:rFonts w:hint="eastAsia" w:ascii="宋体" w:hAnsi="宋体" w:cs="宋体"/>
                <w:b/>
                <w:bCs/>
                <w:color w:val="auto"/>
                <w:szCs w:val="21"/>
              </w:rPr>
              <w:t>并提供网络查询截图）</w:t>
            </w:r>
          </w:p>
        </w:tc>
      </w:tr>
      <w:tr w14:paraId="74E05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39BF5804">
            <w:pPr>
              <w:pStyle w:val="17"/>
              <w:widowControl/>
              <w:spacing w:line="288" w:lineRule="auto"/>
              <w:jc w:val="left"/>
              <w:rPr>
                <w:rFonts w:ascii="宋体" w:hAnsi="宋体" w:cs="宋体"/>
                <w:color w:val="auto"/>
                <w:szCs w:val="21"/>
              </w:rPr>
            </w:pPr>
            <w:r>
              <w:rPr>
                <w:rFonts w:hint="eastAsia" w:ascii="宋体" w:hAnsi="宋体" w:cs="宋体"/>
                <w:color w:val="auto"/>
                <w:szCs w:val="21"/>
              </w:rPr>
              <w:t>*立柱</w:t>
            </w:r>
          </w:p>
        </w:tc>
        <w:tc>
          <w:tcPr>
            <w:tcW w:w="7672" w:type="dxa"/>
          </w:tcPr>
          <w:p w14:paraId="4A4A4CE7">
            <w:pPr>
              <w:rPr>
                <w:rFonts w:ascii="宋体" w:hAnsi="宋体" w:cs="宋体"/>
                <w:color w:val="auto"/>
                <w:sz w:val="21"/>
                <w:szCs w:val="21"/>
              </w:rPr>
            </w:pPr>
            <w:r>
              <w:rPr>
                <w:rFonts w:hint="eastAsia" w:ascii="宋体" w:hAnsi="宋体" w:cs="宋体"/>
                <w:color w:val="auto"/>
                <w:sz w:val="21"/>
                <w:szCs w:val="21"/>
              </w:rPr>
              <w:t>立柱采用≥1.4mm冷轧板，成型尺寸≥48*34mm两侧各压制两条直接≥1.2mm加强筋并均布冲裁可上、下调节的挂孔，经一次压制成矩形柱体每拼立柱采用上、中、下三根连接焊成整体。挂板可沿立柱垂直方向调整高度，立柱挂板孔间距为≥44mm,层高可任意调节，可根据需要增加或减少层数。</w:t>
            </w:r>
          </w:p>
          <w:p w14:paraId="508AD538">
            <w:pPr>
              <w:pStyle w:val="17"/>
              <w:widowControl/>
              <w:spacing w:line="288" w:lineRule="auto"/>
              <w:jc w:val="left"/>
              <w:rPr>
                <w:rFonts w:ascii="宋体" w:hAnsi="宋体" w:cs="宋体"/>
                <w:color w:val="auto"/>
                <w:szCs w:val="21"/>
              </w:rPr>
            </w:pPr>
            <w:r>
              <w:rPr>
                <w:rFonts w:hint="eastAsia" w:ascii="宋体" w:hAnsi="宋体" w:cs="宋体"/>
                <w:b/>
                <w:bCs/>
                <w:color w:val="auto"/>
                <w:szCs w:val="21"/>
              </w:rPr>
              <w:t>（</w:t>
            </w:r>
            <w:r>
              <w:rPr>
                <w:rFonts w:hint="eastAsia" w:ascii="宋体" w:hAnsi="宋体" w:cs="宋体"/>
                <w:b/>
                <w:bCs/>
                <w:color w:val="auto"/>
                <w:szCs w:val="21"/>
                <w:lang w:eastAsia="zh-CN"/>
              </w:rPr>
              <w:t>供应商需提供由第三方检测机构出具的</w:t>
            </w:r>
            <w:r>
              <w:rPr>
                <w:rFonts w:hint="eastAsia" w:ascii="宋体" w:hAnsi="宋体" w:cs="宋体"/>
                <w:b/>
                <w:bCs/>
                <w:color w:val="auto"/>
                <w:szCs w:val="21"/>
              </w:rPr>
              <w:t>立柱检验报告，检验依据为GB/T228.1-2021《金属材料 拉伸试验 第1部分：室温试验方法》GB/T13667.3-2013《钢制书架 第3部分：手动密集书架》复印件</w:t>
            </w:r>
            <w:r>
              <w:rPr>
                <w:rFonts w:hint="eastAsia" w:ascii="宋体" w:hAnsi="宋体" w:cs="宋体"/>
                <w:b/>
                <w:bCs/>
                <w:color w:val="auto"/>
                <w:szCs w:val="21"/>
                <w:lang w:eastAsia="zh-CN"/>
              </w:rPr>
              <w:t>，</w:t>
            </w:r>
            <w:r>
              <w:rPr>
                <w:rFonts w:hint="eastAsia" w:ascii="宋体" w:hAnsi="宋体" w:cs="宋体"/>
                <w:b/>
                <w:bCs/>
                <w:color w:val="auto"/>
                <w:szCs w:val="21"/>
              </w:rPr>
              <w:t>并提供网络查询截图）</w:t>
            </w:r>
          </w:p>
        </w:tc>
      </w:tr>
      <w:tr w14:paraId="29914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01C390FA">
            <w:pPr>
              <w:pStyle w:val="17"/>
              <w:widowControl/>
              <w:spacing w:line="288" w:lineRule="auto"/>
              <w:jc w:val="left"/>
              <w:rPr>
                <w:rFonts w:ascii="宋体" w:hAnsi="宋体" w:cs="宋体"/>
                <w:color w:val="auto"/>
                <w:szCs w:val="21"/>
              </w:rPr>
            </w:pPr>
            <w:r>
              <w:rPr>
                <w:rFonts w:hint="eastAsia" w:ascii="宋体" w:hAnsi="宋体" w:cs="宋体"/>
                <w:color w:val="auto"/>
                <w:szCs w:val="21"/>
              </w:rPr>
              <w:t>*挂板</w:t>
            </w:r>
          </w:p>
        </w:tc>
        <w:tc>
          <w:tcPr>
            <w:tcW w:w="7672" w:type="dxa"/>
          </w:tcPr>
          <w:p w14:paraId="7B6D335E">
            <w:pPr>
              <w:rPr>
                <w:rFonts w:ascii="宋体" w:hAnsi="宋体" w:cs="宋体"/>
                <w:color w:val="auto"/>
                <w:sz w:val="21"/>
                <w:szCs w:val="21"/>
              </w:rPr>
            </w:pPr>
            <w:r>
              <w:rPr>
                <w:rFonts w:hint="eastAsia" w:ascii="宋体" w:hAnsi="宋体" w:cs="宋体"/>
                <w:color w:val="auto"/>
                <w:sz w:val="21"/>
                <w:szCs w:val="21"/>
              </w:rPr>
              <w:t>挂板采用≥1.0mm 冷轧板成型高度≥120mm，中间部位构件开设水平连续三连式菱形镂空孔2组，每组包含</w:t>
            </w:r>
            <w:r>
              <w:rPr>
                <w:rFonts w:hint="eastAsia" w:ascii="宋体" w:hAnsi="宋体" w:cs="宋体"/>
                <w:color w:val="auto"/>
                <w:sz w:val="21"/>
                <w:szCs w:val="21"/>
                <w:lang w:eastAsia="zh-CN"/>
              </w:rPr>
              <w:t>不少于</w:t>
            </w:r>
            <w:r>
              <w:rPr>
                <w:rFonts w:hint="eastAsia" w:ascii="宋体" w:hAnsi="宋体" w:cs="宋体"/>
                <w:color w:val="auto"/>
                <w:sz w:val="21"/>
                <w:szCs w:val="21"/>
              </w:rPr>
              <w:t>3个菱形孔洞，菱形采用双层边框结构；相邻菱形端部相互连通，连接位置设置小方孔过渡，整体呈一字水平排布，造型连贯对称。两端挂钩采用模具冲裁打弯而成，中间采用腰形拉伸翻边模成形两个台阶加强孔，下端直角折弯，并冲有四个凸槽，使搁板嵌置于弯边凸肩上，组装后平整、牢固、无噪声、层间距按需要沿立柱调节孔可自由调整。</w:t>
            </w:r>
          </w:p>
          <w:p w14:paraId="564626DA">
            <w:pPr>
              <w:pStyle w:val="17"/>
              <w:widowControl/>
              <w:spacing w:line="288" w:lineRule="auto"/>
              <w:jc w:val="left"/>
              <w:rPr>
                <w:rFonts w:ascii="宋体" w:hAnsi="宋体" w:cs="宋体"/>
                <w:color w:val="auto"/>
                <w:szCs w:val="21"/>
              </w:rPr>
            </w:pPr>
            <w:r>
              <w:rPr>
                <w:rFonts w:hint="eastAsia" w:ascii="宋体" w:hAnsi="宋体" w:cs="宋体"/>
                <w:b/>
                <w:bCs/>
                <w:color w:val="auto"/>
                <w:szCs w:val="21"/>
              </w:rPr>
              <w:t>（</w:t>
            </w:r>
            <w:r>
              <w:rPr>
                <w:rFonts w:hint="eastAsia" w:ascii="宋体" w:hAnsi="宋体" w:cs="宋体"/>
                <w:b/>
                <w:bCs/>
                <w:color w:val="auto"/>
                <w:szCs w:val="21"/>
                <w:lang w:eastAsia="zh-CN"/>
              </w:rPr>
              <w:t>供应商需提供由第三方检测机构出具的</w:t>
            </w:r>
            <w:r>
              <w:rPr>
                <w:rFonts w:hint="eastAsia" w:ascii="宋体" w:hAnsi="宋体" w:cs="宋体"/>
                <w:b/>
                <w:bCs/>
                <w:color w:val="auto"/>
                <w:szCs w:val="21"/>
              </w:rPr>
              <w:t>挂板检验报告，检验依据为GB/T228.1-2021《金属材料 拉伸试验 第1部分：室温试验方法》GB/T13667.3-2013《钢制书架 第3部分：手动密集书架》复印件</w:t>
            </w:r>
            <w:r>
              <w:rPr>
                <w:rFonts w:hint="eastAsia" w:ascii="宋体" w:hAnsi="宋体" w:cs="宋体"/>
                <w:b/>
                <w:bCs/>
                <w:color w:val="auto"/>
                <w:szCs w:val="21"/>
                <w:lang w:eastAsia="zh-CN"/>
              </w:rPr>
              <w:t>，</w:t>
            </w:r>
            <w:r>
              <w:rPr>
                <w:rFonts w:hint="eastAsia" w:ascii="宋体" w:hAnsi="宋体" w:cs="宋体"/>
                <w:b/>
                <w:bCs/>
                <w:color w:val="auto"/>
                <w:szCs w:val="21"/>
              </w:rPr>
              <w:t>并提供网络查询截图）</w:t>
            </w:r>
          </w:p>
        </w:tc>
      </w:tr>
      <w:tr w14:paraId="1E735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7AB885F9">
            <w:pPr>
              <w:pStyle w:val="17"/>
              <w:widowControl/>
              <w:spacing w:line="288" w:lineRule="auto"/>
              <w:jc w:val="left"/>
              <w:rPr>
                <w:rFonts w:ascii="宋体" w:hAnsi="宋体" w:cs="宋体"/>
                <w:color w:val="auto"/>
                <w:szCs w:val="21"/>
              </w:rPr>
            </w:pPr>
            <w:r>
              <w:rPr>
                <w:rFonts w:hint="eastAsia" w:ascii="宋体" w:hAnsi="宋体" w:cs="宋体"/>
                <w:color w:val="auto"/>
                <w:szCs w:val="21"/>
              </w:rPr>
              <w:t>*搁板</w:t>
            </w:r>
          </w:p>
        </w:tc>
        <w:tc>
          <w:tcPr>
            <w:tcW w:w="7672" w:type="dxa"/>
          </w:tcPr>
          <w:p w14:paraId="4D96253C">
            <w:pPr>
              <w:rPr>
                <w:rFonts w:asciiTheme="minorEastAsia" w:hAnsiTheme="minorEastAsia" w:eastAsiaTheme="minorEastAsia" w:cstheme="minorEastAsia"/>
                <w:color w:val="auto"/>
                <w:szCs w:val="36"/>
              </w:rPr>
            </w:pPr>
            <w:r>
              <w:rPr>
                <w:rFonts w:hint="eastAsia" w:ascii="宋体" w:hAnsi="宋体" w:cs="宋体"/>
                <w:color w:val="auto"/>
                <w:sz w:val="21"/>
                <w:szCs w:val="21"/>
              </w:rPr>
              <w:t>采用≥1.0mm 冷轧板经一次冲压折弯而成，正面压制2组加强筋，每组加强筋≥3条，直径≥2.5mm。成型高度为25mm，结构合理，使用方便，每层搁板额定承载≥80kg（承载能力及挠度按GB/T 13667.3-2013规定检验）。</w:t>
            </w:r>
            <w:r>
              <w:rPr>
                <w:rFonts w:hint="eastAsia" w:ascii="宋体" w:hAnsi="宋体" w:cs="宋体"/>
                <w:color w:val="auto"/>
                <w:sz w:val="20"/>
              </w:rPr>
              <w:t>搁板</w:t>
            </w:r>
            <w:r>
              <w:rPr>
                <w:rFonts w:hint="eastAsia" w:ascii="宋体" w:hAnsi="宋体" w:cs="宋体"/>
                <w:color w:val="auto"/>
                <w:sz w:val="21"/>
                <w:szCs w:val="21"/>
              </w:rPr>
              <w:t>可沿立柱垂直方向调整高度。搁板上均匀载重400N，放置24h最大挠度小于4mm，卸载后2h搁板不得有裂缝，残余变形量不大于0.3mm。</w:t>
            </w:r>
          </w:p>
          <w:p w14:paraId="6F668928">
            <w:pPr>
              <w:pStyle w:val="17"/>
              <w:spacing w:line="288" w:lineRule="auto"/>
              <w:rPr>
                <w:rFonts w:ascii="宋体" w:hAnsi="宋体" w:cs="宋体"/>
                <w:color w:val="auto"/>
                <w:szCs w:val="21"/>
              </w:rPr>
            </w:pPr>
            <w:r>
              <w:rPr>
                <w:rFonts w:hint="eastAsia" w:ascii="宋体" w:hAnsi="宋体" w:cs="宋体"/>
                <w:b/>
                <w:bCs/>
                <w:color w:val="auto"/>
                <w:szCs w:val="21"/>
              </w:rPr>
              <w:t>（</w:t>
            </w:r>
            <w:r>
              <w:rPr>
                <w:rFonts w:hint="eastAsia" w:ascii="宋体" w:hAnsi="宋体" w:cs="宋体"/>
                <w:b/>
                <w:bCs/>
                <w:color w:val="auto"/>
                <w:szCs w:val="21"/>
                <w:lang w:eastAsia="zh-CN"/>
              </w:rPr>
              <w:t>供应商需提供由第三方检测机构出具的</w:t>
            </w:r>
            <w:r>
              <w:rPr>
                <w:rFonts w:hint="eastAsia" w:ascii="宋体" w:hAnsi="宋体" w:cs="宋体"/>
                <w:b/>
                <w:bCs/>
                <w:color w:val="auto"/>
                <w:szCs w:val="21"/>
              </w:rPr>
              <w:t>搁板检验报告，检验依据为GB/T228.1-2021《金属材料 拉伸试验 第1部分：室温试验方法》GB/T13667.3-2013《钢制书架 第3部分：手动密集书架》复印件</w:t>
            </w:r>
            <w:r>
              <w:rPr>
                <w:rFonts w:hint="eastAsia" w:ascii="宋体" w:hAnsi="宋体" w:cs="宋体"/>
                <w:b/>
                <w:bCs/>
                <w:color w:val="auto"/>
                <w:szCs w:val="21"/>
                <w:lang w:eastAsia="zh-CN"/>
              </w:rPr>
              <w:t>，</w:t>
            </w:r>
            <w:r>
              <w:rPr>
                <w:rFonts w:hint="eastAsia" w:ascii="宋体" w:hAnsi="宋体" w:cs="宋体"/>
                <w:b/>
                <w:bCs/>
                <w:color w:val="auto"/>
                <w:szCs w:val="21"/>
              </w:rPr>
              <w:t>并提供网络查询截图）</w:t>
            </w:r>
          </w:p>
        </w:tc>
      </w:tr>
      <w:tr w14:paraId="19389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04FB81CE">
            <w:pPr>
              <w:pStyle w:val="17"/>
              <w:widowControl/>
              <w:spacing w:line="288" w:lineRule="auto"/>
              <w:jc w:val="left"/>
              <w:rPr>
                <w:rFonts w:ascii="宋体" w:hAnsi="宋体" w:cs="宋体"/>
                <w:color w:val="auto"/>
                <w:szCs w:val="21"/>
              </w:rPr>
            </w:pPr>
            <w:r>
              <w:rPr>
                <w:rFonts w:hint="eastAsia" w:ascii="宋体" w:hAnsi="宋体" w:cs="宋体"/>
                <w:color w:val="auto"/>
                <w:szCs w:val="21"/>
              </w:rPr>
              <w:t>*门板</w:t>
            </w:r>
          </w:p>
        </w:tc>
        <w:tc>
          <w:tcPr>
            <w:tcW w:w="7672" w:type="dxa"/>
          </w:tcPr>
          <w:p w14:paraId="00A7A1AC">
            <w:pPr>
              <w:spacing w:line="288" w:lineRule="auto"/>
              <w:rPr>
                <w:rFonts w:ascii="宋体" w:hAnsi="宋体" w:cs="宋体"/>
                <w:color w:val="auto"/>
                <w:sz w:val="21"/>
                <w:szCs w:val="21"/>
              </w:rPr>
            </w:pPr>
            <w:r>
              <w:rPr>
                <w:rFonts w:hint="eastAsia" w:ascii="宋体" w:hAnsi="宋体" w:cs="宋体"/>
                <w:color w:val="auto"/>
                <w:sz w:val="21"/>
                <w:szCs w:val="21"/>
              </w:rPr>
              <w:t>门板采用≥1.0mm优质冷轧钢板，每侧双折弯而成，门板折弯高度≥25mm，门板正面四角冲采用仿古式回纹边≥98*98mm，造型需加强门板强度，图形简洁美观，组装后缝隙均匀，锁定紧密，开启灵活。</w:t>
            </w:r>
            <w:r>
              <w:rPr>
                <w:rFonts w:hint="eastAsia" w:ascii="宋体" w:hAnsi="宋体" w:cs="宋体"/>
                <w:b/>
                <w:bCs/>
                <w:color w:val="auto"/>
                <w:sz w:val="21"/>
                <w:szCs w:val="21"/>
              </w:rPr>
              <w:t>（提供第三方具有 CNAS或CMA资质的质量检测中心出具的门板检验报告，检验依据为GB/T228.1-2021《金属材料 拉伸试验 第1部分：室温试验方法》GB/T13667.3-2013《钢制书架 第3部分：手动密集书架》复印件</w:t>
            </w:r>
            <w:r>
              <w:rPr>
                <w:rFonts w:hint="eastAsia" w:ascii="宋体" w:hAnsi="宋体" w:cs="宋体"/>
                <w:b/>
                <w:bCs/>
                <w:color w:val="auto"/>
                <w:szCs w:val="21"/>
                <w:lang w:eastAsia="zh-CN"/>
              </w:rPr>
              <w:t>，</w:t>
            </w:r>
            <w:r>
              <w:rPr>
                <w:rFonts w:hint="eastAsia" w:ascii="宋体" w:hAnsi="宋体" w:cs="宋体"/>
                <w:b/>
                <w:bCs/>
                <w:color w:val="auto"/>
                <w:szCs w:val="21"/>
              </w:rPr>
              <w:t>并提供网络查询截图</w:t>
            </w:r>
            <w:r>
              <w:rPr>
                <w:rFonts w:hint="eastAsia" w:ascii="宋体" w:hAnsi="宋体" w:cs="宋体"/>
                <w:b/>
                <w:bCs/>
                <w:color w:val="auto"/>
                <w:sz w:val="21"/>
                <w:szCs w:val="21"/>
              </w:rPr>
              <w:t>）</w:t>
            </w:r>
          </w:p>
        </w:tc>
      </w:tr>
      <w:tr w14:paraId="34020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3E84B77E">
            <w:pPr>
              <w:pStyle w:val="17"/>
              <w:widowControl/>
              <w:spacing w:line="288" w:lineRule="auto"/>
              <w:jc w:val="left"/>
              <w:rPr>
                <w:rFonts w:ascii="宋体" w:hAnsi="宋体" w:cs="宋体"/>
                <w:color w:val="auto"/>
                <w:szCs w:val="21"/>
              </w:rPr>
            </w:pPr>
            <w:r>
              <w:rPr>
                <w:rFonts w:hint="eastAsia" w:ascii="宋体" w:hAnsi="宋体" w:cs="宋体"/>
                <w:color w:val="auto"/>
                <w:szCs w:val="21"/>
              </w:rPr>
              <w:t>*顶板</w:t>
            </w:r>
          </w:p>
        </w:tc>
        <w:tc>
          <w:tcPr>
            <w:tcW w:w="7672" w:type="dxa"/>
          </w:tcPr>
          <w:p w14:paraId="4FFF5A01">
            <w:pPr>
              <w:spacing w:line="288" w:lineRule="auto"/>
              <w:rPr>
                <w:rFonts w:ascii="宋体" w:hAnsi="宋体" w:cs="宋体"/>
                <w:color w:val="auto"/>
                <w:sz w:val="21"/>
                <w:szCs w:val="21"/>
              </w:rPr>
            </w:pPr>
            <w:r>
              <w:rPr>
                <w:rFonts w:hint="eastAsia" w:ascii="宋体" w:hAnsi="宋体" w:cs="宋体"/>
                <w:color w:val="auto"/>
                <w:sz w:val="21"/>
                <w:szCs w:val="21"/>
              </w:rPr>
              <w:t>厚度1.0mm、通过三次折弯高度30 mm，每块顶板的两个高度30 mm正面，平行冲压一条加强筋，加强筋宽度≥5mm，深度≥3mm增大顶板强度、结构结实、紧固，设计新颖，通用性强，整体焊接后采用螺丝串联，表面喷塑。</w:t>
            </w:r>
            <w:r>
              <w:rPr>
                <w:rFonts w:hint="eastAsia" w:ascii="宋体" w:hAnsi="宋体" w:cs="宋体"/>
                <w:b/>
                <w:bCs/>
                <w:color w:val="auto"/>
                <w:sz w:val="21"/>
                <w:szCs w:val="21"/>
              </w:rPr>
              <w:t>（</w:t>
            </w:r>
            <w:r>
              <w:rPr>
                <w:rFonts w:hint="eastAsia" w:ascii="宋体" w:hAnsi="宋体" w:cs="宋体"/>
                <w:b/>
                <w:bCs/>
                <w:color w:val="auto"/>
                <w:sz w:val="21"/>
                <w:szCs w:val="21"/>
                <w:lang w:eastAsia="zh-CN"/>
              </w:rPr>
              <w:t>供应商需提供由第三方检测机构出具的</w:t>
            </w:r>
            <w:r>
              <w:rPr>
                <w:rFonts w:hint="eastAsia" w:ascii="宋体" w:hAnsi="宋体" w:cs="宋体"/>
                <w:b/>
                <w:bCs/>
                <w:color w:val="auto"/>
                <w:sz w:val="21"/>
                <w:szCs w:val="21"/>
              </w:rPr>
              <w:t>顶板检验报告，检验依据为GB/T228.1-2021《金属材料 拉伸试验 第1部分：室温试验方法》GB/T13667.3-2013《钢制书架 第3部分：手动密集书架》复印件</w:t>
            </w:r>
            <w:r>
              <w:rPr>
                <w:rFonts w:hint="eastAsia" w:ascii="宋体" w:hAnsi="宋体" w:cs="宋体"/>
                <w:b/>
                <w:bCs/>
                <w:color w:val="auto"/>
                <w:szCs w:val="21"/>
                <w:lang w:eastAsia="zh-CN"/>
              </w:rPr>
              <w:t>，</w:t>
            </w:r>
            <w:r>
              <w:rPr>
                <w:rFonts w:hint="eastAsia" w:ascii="宋体" w:hAnsi="宋体" w:cs="宋体"/>
                <w:b/>
                <w:bCs/>
                <w:color w:val="auto"/>
                <w:szCs w:val="21"/>
              </w:rPr>
              <w:t>并提供网络查询截图</w:t>
            </w:r>
            <w:r>
              <w:rPr>
                <w:rFonts w:hint="eastAsia" w:ascii="宋体" w:hAnsi="宋体" w:cs="宋体"/>
                <w:b/>
                <w:bCs/>
                <w:color w:val="auto"/>
                <w:sz w:val="21"/>
                <w:szCs w:val="21"/>
              </w:rPr>
              <w:t>）</w:t>
            </w:r>
          </w:p>
        </w:tc>
      </w:tr>
      <w:tr w14:paraId="0A3EB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5B657E93">
            <w:pPr>
              <w:pStyle w:val="17"/>
              <w:widowControl/>
              <w:spacing w:line="288" w:lineRule="auto"/>
              <w:jc w:val="left"/>
              <w:rPr>
                <w:rFonts w:ascii="宋体" w:hAnsi="宋体" w:cs="宋体"/>
                <w:color w:val="auto"/>
                <w:szCs w:val="21"/>
              </w:rPr>
            </w:pPr>
            <w:r>
              <w:rPr>
                <w:rFonts w:hint="eastAsia" w:ascii="宋体" w:hAnsi="宋体" w:cs="宋体"/>
                <w:bCs/>
                <w:color w:val="auto"/>
                <w:szCs w:val="21"/>
              </w:rPr>
              <w:t>*地</w:t>
            </w:r>
            <w:r>
              <w:rPr>
                <w:rFonts w:hint="eastAsia" w:ascii="宋体" w:hAnsi="宋体" w:cs="宋体"/>
                <w:color w:val="auto"/>
                <w:szCs w:val="21"/>
              </w:rPr>
              <w:t>轨</w:t>
            </w:r>
          </w:p>
        </w:tc>
        <w:tc>
          <w:tcPr>
            <w:tcW w:w="7672" w:type="dxa"/>
          </w:tcPr>
          <w:p w14:paraId="7AA2E7E5">
            <w:pPr>
              <w:spacing w:line="288" w:lineRule="auto"/>
              <w:rPr>
                <w:rFonts w:ascii="宋体" w:hAnsi="宋体" w:cs="宋体"/>
                <w:color w:val="auto"/>
                <w:sz w:val="21"/>
                <w:szCs w:val="21"/>
              </w:rPr>
            </w:pPr>
            <w:r>
              <w:rPr>
                <w:rFonts w:hint="eastAsia" w:ascii="宋体" w:hAnsi="宋体" w:cs="宋体"/>
                <w:color w:val="auto"/>
                <w:sz w:val="21"/>
                <w:szCs w:val="21"/>
              </w:rPr>
              <w:t>地轨：轨道20mm×20mm实心方钢，放置于3.0mm厚冷轧钢板折弯成形的轨座上组焊而成，达到强度及防尘要求。每米载荷≥2000kg，导轨采用≥20*20实心方钢置于≥2.0mm折弯成形轨座内。导轨安装平行度偏差不大于1mm/m，全长不大于2mm，两根轨道的水平高度偏差不大于1.0mm，两轨道平行度偏差不大于1.0mm，全长不大于2.0mm，对接处高低差不大于0.3mm。（导轨及轨座采用镀锌工艺）</w:t>
            </w:r>
          </w:p>
          <w:p w14:paraId="0902D5AC">
            <w:pPr>
              <w:pStyle w:val="17"/>
              <w:widowControl/>
              <w:spacing w:line="288" w:lineRule="auto"/>
              <w:jc w:val="left"/>
              <w:rPr>
                <w:rFonts w:ascii="宋体" w:hAnsi="宋体" w:cs="宋体"/>
                <w:color w:val="auto"/>
                <w:szCs w:val="21"/>
              </w:rPr>
            </w:pPr>
            <w:r>
              <w:rPr>
                <w:rFonts w:hint="eastAsia" w:ascii="宋体" w:hAnsi="宋体" w:cs="宋体"/>
                <w:color w:val="auto"/>
                <w:szCs w:val="21"/>
              </w:rPr>
              <w:t>。</w:t>
            </w:r>
            <w:r>
              <w:rPr>
                <w:rFonts w:hint="eastAsia" w:ascii="宋体" w:hAnsi="宋体" w:cs="宋体"/>
                <w:b/>
                <w:bCs/>
                <w:color w:val="auto"/>
                <w:szCs w:val="21"/>
              </w:rPr>
              <w:t>（</w:t>
            </w:r>
            <w:r>
              <w:rPr>
                <w:rFonts w:hint="eastAsia" w:ascii="宋体" w:hAnsi="宋体" w:cs="宋体"/>
                <w:b/>
                <w:bCs/>
                <w:color w:val="auto"/>
                <w:szCs w:val="21"/>
                <w:lang w:eastAsia="zh-CN"/>
              </w:rPr>
              <w:t>供应商需提供由第三方检测机构出具的</w:t>
            </w:r>
            <w:r>
              <w:rPr>
                <w:rFonts w:hint="eastAsia" w:ascii="宋体" w:hAnsi="宋体" w:cs="宋体"/>
                <w:b/>
                <w:bCs/>
                <w:color w:val="auto"/>
                <w:szCs w:val="21"/>
              </w:rPr>
              <w:t>地轨检验报告，检验依据为GB/T228.1-2021《金属材料拉伸试验第1部分：室温试验方法》复印件</w:t>
            </w:r>
            <w:r>
              <w:rPr>
                <w:rFonts w:hint="eastAsia" w:ascii="宋体" w:hAnsi="宋体" w:cs="宋体"/>
                <w:b/>
                <w:bCs/>
                <w:color w:val="auto"/>
                <w:szCs w:val="21"/>
                <w:lang w:eastAsia="zh-CN"/>
              </w:rPr>
              <w:t>，</w:t>
            </w:r>
            <w:r>
              <w:rPr>
                <w:rFonts w:hint="eastAsia" w:ascii="宋体" w:hAnsi="宋体" w:cs="宋体"/>
                <w:b/>
                <w:bCs/>
                <w:color w:val="auto"/>
                <w:szCs w:val="21"/>
              </w:rPr>
              <w:t>并提供网络查询截图）</w:t>
            </w:r>
          </w:p>
        </w:tc>
      </w:tr>
      <w:tr w14:paraId="4741B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64C5FA0E">
            <w:pPr>
              <w:pStyle w:val="17"/>
              <w:widowControl/>
              <w:spacing w:line="288" w:lineRule="auto"/>
              <w:jc w:val="left"/>
              <w:rPr>
                <w:rFonts w:ascii="宋体" w:hAnsi="宋体" w:cs="宋体"/>
                <w:color w:val="auto"/>
                <w:szCs w:val="21"/>
              </w:rPr>
            </w:pPr>
            <w:r>
              <w:rPr>
                <w:rFonts w:hint="eastAsia" w:ascii="宋体" w:hAnsi="宋体" w:cs="宋体"/>
                <w:bCs/>
                <w:color w:val="auto"/>
                <w:szCs w:val="21"/>
              </w:rPr>
              <w:t>*铝合金摇手柄</w:t>
            </w:r>
          </w:p>
        </w:tc>
        <w:tc>
          <w:tcPr>
            <w:tcW w:w="7672" w:type="dxa"/>
          </w:tcPr>
          <w:p w14:paraId="1511E659">
            <w:pPr>
              <w:spacing w:line="288" w:lineRule="auto"/>
              <w:rPr>
                <w:rFonts w:ascii="宋体" w:hAnsi="宋体" w:cs="宋体"/>
                <w:color w:val="auto"/>
                <w:sz w:val="21"/>
                <w:szCs w:val="21"/>
              </w:rPr>
            </w:pPr>
            <w:r>
              <w:rPr>
                <w:rFonts w:hint="eastAsia" w:ascii="宋体" w:hAnsi="宋体" w:cs="宋体"/>
                <w:color w:val="auto"/>
                <w:sz w:val="21"/>
                <w:szCs w:val="21"/>
              </w:rPr>
              <w:t>新式齿轮传动机构由新式三角形方向盘和主驱动齿轮箱，输出齿轮箱三部分组成。</w:t>
            </w:r>
          </w:p>
          <w:p w14:paraId="61A334B6">
            <w:pPr>
              <w:spacing w:line="288" w:lineRule="auto"/>
              <w:rPr>
                <w:rFonts w:ascii="宋体" w:hAnsi="宋体" w:cs="宋体"/>
                <w:color w:val="auto"/>
                <w:sz w:val="21"/>
                <w:szCs w:val="21"/>
              </w:rPr>
            </w:pPr>
            <w:r>
              <w:rPr>
                <w:rFonts w:hint="eastAsia" w:ascii="宋体" w:hAnsi="宋体" w:cs="宋体"/>
                <w:color w:val="auto"/>
                <w:sz w:val="21"/>
                <w:szCs w:val="21"/>
              </w:rPr>
              <w:t>新式三角方向盘由ABS工程塑料一次成形，球形把手内有轴承，具有转动轻便，灵活，外观新颖美观，颜色可根据客户需求订制等特点。</w:t>
            </w:r>
          </w:p>
          <w:p w14:paraId="38EF57F7">
            <w:pPr>
              <w:spacing w:line="288" w:lineRule="auto"/>
              <w:rPr>
                <w:rFonts w:ascii="宋体" w:hAnsi="宋体" w:cs="宋体"/>
                <w:color w:val="auto"/>
                <w:sz w:val="21"/>
                <w:szCs w:val="21"/>
              </w:rPr>
            </w:pPr>
            <w:r>
              <w:rPr>
                <w:rFonts w:hint="eastAsia" w:ascii="宋体" w:hAnsi="宋体" w:cs="宋体"/>
                <w:color w:val="auto"/>
                <w:sz w:val="21"/>
                <w:szCs w:val="21"/>
              </w:rPr>
              <w:t>主驱动齿轮箱下配有优质镀锌钢扳，上有制动装置，列锁等配件。齿轮箱四角配有高强度螺栓，由自锁式螺母固定在前端立柱上，紧固可靠、不松动。转动方向盘，通过齿轮箱内齿轮咬合，降速后输出动力。</w:t>
            </w:r>
          </w:p>
          <w:p w14:paraId="1EEB506F">
            <w:pPr>
              <w:spacing w:line="288" w:lineRule="auto"/>
              <w:rPr>
                <w:rFonts w:ascii="宋体" w:hAnsi="宋体" w:cs="宋体"/>
                <w:color w:val="auto"/>
                <w:sz w:val="21"/>
                <w:szCs w:val="21"/>
              </w:rPr>
            </w:pPr>
            <w:r>
              <w:rPr>
                <w:rFonts w:hint="eastAsia" w:ascii="宋体" w:hAnsi="宋体" w:cs="宋体"/>
                <w:color w:val="auto"/>
                <w:sz w:val="21"/>
                <w:szCs w:val="21"/>
              </w:rPr>
              <w:t>输出齿轮箱通过四角四条高强度螺栓，由自锁式螺母固定在底盘前端。和主驱动齿轮箱之间，通过优质镀锌钢管连接传递动力。转动方向盘使用很小力量，通过主驱动齿轮箱内齿轮组和输出齿轮箱内齿轮组两组齿轮的咬合转动，输出。驱动密集架架体左右运动。</w:t>
            </w:r>
          </w:p>
          <w:p w14:paraId="1B1272C6">
            <w:pPr>
              <w:spacing w:line="288" w:lineRule="auto"/>
              <w:rPr>
                <w:rFonts w:ascii="宋体" w:hAnsi="宋体" w:cs="宋体"/>
                <w:color w:val="auto"/>
                <w:sz w:val="21"/>
                <w:szCs w:val="21"/>
              </w:rPr>
            </w:pPr>
            <w:r>
              <w:rPr>
                <w:rFonts w:hint="eastAsia" w:ascii="宋体" w:hAnsi="宋体" w:cs="宋体"/>
                <w:color w:val="auto"/>
                <w:sz w:val="21"/>
                <w:szCs w:val="21"/>
              </w:rPr>
              <w:t>新式齿轮传动机构是箱体式结构，常规链条传动机构是单面悬挂式结构，新式齿轮传动机构相比常规链条传动机构具有坚固耐用，安装简单，静音，传动力大，转动轻便，无后期维护等优点。</w:t>
            </w:r>
          </w:p>
          <w:p w14:paraId="2EEC02CD">
            <w:pPr>
              <w:pStyle w:val="17"/>
              <w:widowControl/>
              <w:spacing w:line="288" w:lineRule="auto"/>
              <w:jc w:val="left"/>
              <w:rPr>
                <w:rFonts w:ascii="宋体" w:hAnsi="宋体" w:cs="宋体"/>
                <w:color w:val="auto"/>
                <w:szCs w:val="21"/>
              </w:rPr>
            </w:pPr>
            <w:r>
              <w:rPr>
                <w:rFonts w:hint="eastAsia" w:ascii="宋体" w:hAnsi="宋体" w:cs="宋体"/>
                <w:b/>
                <w:bCs/>
                <w:color w:val="auto"/>
                <w:szCs w:val="21"/>
              </w:rPr>
              <w:t>（</w:t>
            </w:r>
            <w:r>
              <w:rPr>
                <w:rFonts w:hint="eastAsia" w:ascii="宋体" w:hAnsi="宋体" w:cs="宋体"/>
                <w:b/>
                <w:bCs/>
                <w:color w:val="auto"/>
                <w:szCs w:val="21"/>
                <w:lang w:eastAsia="zh-CN"/>
              </w:rPr>
              <w:t>供应商需提供由第三方检测机构出具的</w:t>
            </w:r>
            <w:r>
              <w:rPr>
                <w:rFonts w:hint="eastAsia" w:ascii="宋体" w:hAnsi="宋体" w:cs="宋体"/>
                <w:b/>
                <w:bCs/>
                <w:color w:val="auto"/>
                <w:szCs w:val="21"/>
              </w:rPr>
              <w:t>铝合金摇手柄检验报告，检验依据为GB/T 13667.3-2013《钢制书架 第3部分：手动密集书架》GB/T 5237.2-2017《铝合金建筑型材 第2部分：阳极氧化型材》复印件</w:t>
            </w:r>
            <w:r>
              <w:rPr>
                <w:rFonts w:hint="eastAsia" w:ascii="宋体" w:hAnsi="宋体" w:cs="宋体"/>
                <w:b/>
                <w:bCs/>
                <w:color w:val="auto"/>
                <w:szCs w:val="21"/>
                <w:lang w:eastAsia="zh-CN"/>
              </w:rPr>
              <w:t>，</w:t>
            </w:r>
            <w:r>
              <w:rPr>
                <w:rFonts w:hint="eastAsia" w:ascii="宋体" w:hAnsi="宋体" w:cs="宋体"/>
                <w:b/>
                <w:bCs/>
                <w:color w:val="auto"/>
                <w:szCs w:val="21"/>
              </w:rPr>
              <w:t>并提供网络查询截图）</w:t>
            </w:r>
          </w:p>
        </w:tc>
      </w:tr>
      <w:tr w14:paraId="5086C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2DAC1ECB">
            <w:pPr>
              <w:pStyle w:val="17"/>
              <w:widowControl/>
              <w:spacing w:line="288" w:lineRule="auto"/>
              <w:jc w:val="left"/>
              <w:rPr>
                <w:rFonts w:ascii="宋体" w:hAnsi="宋体" w:cs="宋体"/>
                <w:color w:val="auto"/>
                <w:szCs w:val="21"/>
              </w:rPr>
            </w:pPr>
            <w:r>
              <w:rPr>
                <w:rFonts w:hint="eastAsia" w:ascii="宋体" w:hAnsi="宋体" w:cs="宋体"/>
                <w:color w:val="auto"/>
                <w:szCs w:val="21"/>
              </w:rPr>
              <w:t>防护装置</w:t>
            </w:r>
          </w:p>
        </w:tc>
        <w:tc>
          <w:tcPr>
            <w:tcW w:w="7672" w:type="dxa"/>
          </w:tcPr>
          <w:p w14:paraId="50319162">
            <w:pPr>
              <w:pStyle w:val="17"/>
              <w:widowControl/>
              <w:spacing w:line="288" w:lineRule="auto"/>
              <w:jc w:val="left"/>
              <w:rPr>
                <w:rFonts w:ascii="宋体" w:hAnsi="宋体" w:cs="宋体"/>
                <w:color w:val="auto"/>
                <w:szCs w:val="21"/>
              </w:rPr>
            </w:pPr>
            <w:r>
              <w:rPr>
                <w:rFonts w:hint="eastAsia" w:ascii="宋体" w:hAnsi="宋体" w:cs="宋体"/>
                <w:color w:val="auto"/>
                <w:szCs w:val="21"/>
              </w:rPr>
              <w:t>底梁上安装防倒架、防止架体倾倒装置，并具有防震、防光、防水、防潮、防鼠、防火等功能。</w:t>
            </w:r>
          </w:p>
        </w:tc>
      </w:tr>
      <w:tr w14:paraId="005F1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51CCC0F4">
            <w:pPr>
              <w:pStyle w:val="17"/>
              <w:widowControl/>
              <w:spacing w:line="288" w:lineRule="auto"/>
              <w:jc w:val="left"/>
              <w:rPr>
                <w:rFonts w:ascii="宋体" w:hAnsi="宋体" w:cs="宋体"/>
                <w:color w:val="auto"/>
                <w:szCs w:val="21"/>
              </w:rPr>
            </w:pPr>
            <w:r>
              <w:rPr>
                <w:rFonts w:hint="eastAsia" w:ascii="宋体" w:hAnsi="宋体" w:cs="宋体"/>
                <w:color w:val="auto"/>
                <w:szCs w:val="21"/>
              </w:rPr>
              <w:t>制动与锁定装置</w:t>
            </w:r>
          </w:p>
        </w:tc>
        <w:tc>
          <w:tcPr>
            <w:tcW w:w="7672" w:type="dxa"/>
          </w:tcPr>
          <w:p w14:paraId="5B3AF2D6">
            <w:pPr>
              <w:pStyle w:val="17"/>
              <w:widowControl/>
              <w:spacing w:line="288" w:lineRule="auto"/>
              <w:jc w:val="left"/>
              <w:rPr>
                <w:rFonts w:ascii="宋体" w:hAnsi="宋体" w:cs="宋体"/>
                <w:color w:val="auto"/>
                <w:szCs w:val="21"/>
              </w:rPr>
            </w:pPr>
            <w:r>
              <w:rPr>
                <w:rFonts w:hint="eastAsia" w:ascii="宋体" w:hAnsi="宋体" w:cs="宋体"/>
                <w:color w:val="auto"/>
                <w:szCs w:val="21"/>
              </w:rPr>
              <w:t>门面列和中间移动列分别装有锁具和制动装置，每组密集架闭合后可用总锁锁住，门列具有双重锁定功能，形成一个封闭的整体，各列移开后也可单独制动。</w:t>
            </w:r>
          </w:p>
        </w:tc>
      </w:tr>
      <w:tr w14:paraId="5479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5B7EB1A0">
            <w:pPr>
              <w:pStyle w:val="17"/>
              <w:widowControl/>
              <w:spacing w:line="288" w:lineRule="auto"/>
              <w:jc w:val="left"/>
              <w:rPr>
                <w:rFonts w:ascii="宋体" w:hAnsi="宋体" w:cs="宋体"/>
                <w:color w:val="auto"/>
                <w:szCs w:val="21"/>
              </w:rPr>
            </w:pPr>
            <w:r>
              <w:rPr>
                <w:rFonts w:hint="eastAsia" w:ascii="宋体" w:hAnsi="宋体" w:cs="宋体"/>
                <w:color w:val="auto"/>
                <w:szCs w:val="21"/>
              </w:rPr>
              <w:t>*传动机构</w:t>
            </w:r>
          </w:p>
        </w:tc>
        <w:tc>
          <w:tcPr>
            <w:tcW w:w="7672" w:type="dxa"/>
          </w:tcPr>
          <w:p w14:paraId="1774D0F9">
            <w:pPr>
              <w:pStyle w:val="17"/>
              <w:widowControl/>
              <w:spacing w:line="288" w:lineRule="auto"/>
              <w:jc w:val="left"/>
              <w:rPr>
                <w:rFonts w:ascii="宋体" w:hAnsi="宋体" w:cs="宋体"/>
                <w:color w:val="auto"/>
                <w:szCs w:val="21"/>
              </w:rPr>
            </w:pPr>
            <w:r>
              <w:rPr>
                <w:rFonts w:hint="eastAsia" w:ascii="宋体" w:hAnsi="宋体" w:cs="宋体"/>
                <w:color w:val="auto"/>
                <w:szCs w:val="21"/>
              </w:rPr>
              <w:t>主要由滚轮、传动轴、轴承、精密滚子链条摇手体等部件组成。链条采用符合GB/T 1243-2024《传动用短节距精密滚子链、套筒链、附件和链轮》的精密滚子链；传动机构中心传动轴为Φ20mm，双向超越离合器结构，采用自由挂挡二极传动板、中间驱动方式自由挂档脱落装置，方向灵活，材料质量好，耐压与耐磨性能好，具有可靠的中心直线度，使架体滑动平衡、轻灵定位可靠，传动轻便灵活，摇手轻，运行平稳，性能达到和超过国家标准，即可单列移动也可多列同时移动。</w:t>
            </w:r>
            <w:r>
              <w:rPr>
                <w:rFonts w:hint="eastAsia" w:ascii="宋体" w:hAnsi="宋体" w:cs="宋体"/>
                <w:b/>
                <w:bCs/>
                <w:color w:val="auto"/>
                <w:szCs w:val="21"/>
              </w:rPr>
              <w:t>（</w:t>
            </w:r>
            <w:r>
              <w:rPr>
                <w:rFonts w:hint="eastAsia" w:ascii="宋体" w:hAnsi="宋体" w:cs="宋体"/>
                <w:b/>
                <w:bCs/>
                <w:color w:val="auto"/>
                <w:szCs w:val="21"/>
                <w:lang w:eastAsia="zh-CN"/>
              </w:rPr>
              <w:t>供应商需提供由第三方检测机构出具的</w:t>
            </w:r>
            <w:r>
              <w:rPr>
                <w:rFonts w:hint="eastAsia" w:ascii="宋体" w:hAnsi="宋体" w:cs="宋体"/>
                <w:b/>
                <w:bCs/>
                <w:color w:val="auto"/>
                <w:szCs w:val="21"/>
              </w:rPr>
              <w:t>传动机构检验报告，检验依据为</w:t>
            </w:r>
            <w:r>
              <w:rPr>
                <w:rFonts w:hint="eastAsia" w:ascii="宋体" w:hAnsi="宋体" w:cs="宋体"/>
                <w:b/>
                <w:bCs/>
                <w:color w:val="auto"/>
                <w:kern w:val="0"/>
                <w:szCs w:val="21"/>
              </w:rPr>
              <w:t>GB/T3177-2009《产品几何技术规范(GPS)光滑工件尺寸的检验》 GB/T1958-2017《产品几何技术规范(GPS) 几何公差 检测与验证》</w:t>
            </w:r>
            <w:r>
              <w:rPr>
                <w:rFonts w:hint="eastAsia" w:ascii="宋体" w:hAnsi="宋体" w:cs="宋体"/>
                <w:b/>
                <w:bCs/>
                <w:color w:val="auto"/>
                <w:szCs w:val="21"/>
              </w:rPr>
              <w:t>复印件</w:t>
            </w:r>
            <w:r>
              <w:rPr>
                <w:rFonts w:hint="eastAsia" w:ascii="宋体" w:hAnsi="宋体" w:cs="宋体"/>
                <w:b/>
                <w:bCs/>
                <w:color w:val="auto"/>
                <w:szCs w:val="21"/>
                <w:lang w:eastAsia="zh-CN"/>
              </w:rPr>
              <w:t>，</w:t>
            </w:r>
            <w:r>
              <w:rPr>
                <w:rFonts w:hint="eastAsia" w:ascii="宋体" w:hAnsi="宋体" w:cs="宋体"/>
                <w:b/>
                <w:bCs/>
                <w:color w:val="auto"/>
                <w:szCs w:val="21"/>
              </w:rPr>
              <w:t>并提供网络查询截图）</w:t>
            </w:r>
          </w:p>
        </w:tc>
      </w:tr>
      <w:tr w14:paraId="0C934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12025F75">
            <w:pPr>
              <w:pStyle w:val="17"/>
              <w:widowControl/>
              <w:spacing w:line="288" w:lineRule="auto"/>
              <w:jc w:val="left"/>
              <w:rPr>
                <w:rFonts w:ascii="宋体" w:hAnsi="宋体" w:cs="宋体"/>
                <w:color w:val="auto"/>
                <w:szCs w:val="21"/>
              </w:rPr>
            </w:pPr>
            <w:r>
              <w:rPr>
                <w:rFonts w:hint="eastAsia" w:ascii="宋体" w:hAnsi="宋体" w:cs="宋体"/>
                <w:color w:val="auto"/>
                <w:szCs w:val="21"/>
              </w:rPr>
              <w:t>*实心轴</w:t>
            </w:r>
          </w:p>
        </w:tc>
        <w:tc>
          <w:tcPr>
            <w:tcW w:w="7672" w:type="dxa"/>
          </w:tcPr>
          <w:p w14:paraId="5CE00B3F">
            <w:pPr>
              <w:pStyle w:val="17"/>
              <w:widowControl/>
              <w:spacing w:line="288" w:lineRule="auto"/>
              <w:jc w:val="left"/>
              <w:rPr>
                <w:rFonts w:ascii="宋体" w:hAnsi="宋体" w:cs="宋体"/>
                <w:color w:val="auto"/>
                <w:szCs w:val="21"/>
              </w:rPr>
            </w:pPr>
            <w:r>
              <w:rPr>
                <w:rFonts w:hint="eastAsia" w:ascii="宋体" w:hAnsi="宋体" w:cs="宋体"/>
                <w:color w:val="auto"/>
                <w:szCs w:val="21"/>
              </w:rPr>
              <w:t>优质45#钢Φ20实心钢。（</w:t>
            </w:r>
            <w:r>
              <w:rPr>
                <w:rFonts w:hint="eastAsia" w:ascii="宋体" w:hAnsi="宋体" w:cs="宋体"/>
                <w:b/>
                <w:bCs/>
                <w:color w:val="auto"/>
                <w:szCs w:val="21"/>
                <w:lang w:eastAsia="zh-CN"/>
              </w:rPr>
              <w:t>供应商需提供由第三方检测机构出具的</w:t>
            </w:r>
            <w:r>
              <w:rPr>
                <w:rFonts w:hint="eastAsia" w:ascii="宋体" w:hAnsi="宋体" w:cs="宋体"/>
                <w:b/>
                <w:bCs/>
                <w:color w:val="auto"/>
                <w:szCs w:val="21"/>
              </w:rPr>
              <w:t>质量检测中心出具的实心轴检验报告，检验依据为GB/T1958-2017《产品几何技术规范(GPS) 几何公差 检测与验证》复印件</w:t>
            </w:r>
            <w:r>
              <w:rPr>
                <w:rFonts w:hint="eastAsia" w:ascii="宋体" w:hAnsi="宋体" w:cs="宋体"/>
                <w:b/>
                <w:bCs/>
                <w:color w:val="auto"/>
                <w:szCs w:val="21"/>
                <w:lang w:eastAsia="zh-CN"/>
              </w:rPr>
              <w:t>，</w:t>
            </w:r>
            <w:r>
              <w:rPr>
                <w:rFonts w:hint="eastAsia" w:ascii="宋体" w:hAnsi="宋体" w:cs="宋体"/>
                <w:b/>
                <w:bCs/>
                <w:color w:val="auto"/>
                <w:szCs w:val="21"/>
              </w:rPr>
              <w:t>并提供网络查询截图）</w:t>
            </w:r>
          </w:p>
        </w:tc>
      </w:tr>
      <w:tr w14:paraId="75C0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05C71B21">
            <w:pPr>
              <w:pStyle w:val="17"/>
              <w:widowControl/>
              <w:spacing w:line="288" w:lineRule="auto"/>
              <w:jc w:val="left"/>
              <w:rPr>
                <w:rFonts w:ascii="宋体" w:hAnsi="宋体" w:cs="宋体"/>
                <w:color w:val="auto"/>
                <w:szCs w:val="21"/>
              </w:rPr>
            </w:pPr>
            <w:r>
              <w:rPr>
                <w:rFonts w:hint="eastAsia" w:ascii="宋体" w:hAnsi="宋体" w:cs="宋体"/>
                <w:color w:val="auto"/>
                <w:szCs w:val="21"/>
              </w:rPr>
              <w:t>齿轮</w:t>
            </w:r>
          </w:p>
        </w:tc>
        <w:tc>
          <w:tcPr>
            <w:tcW w:w="7672" w:type="dxa"/>
          </w:tcPr>
          <w:p w14:paraId="6A0510CC">
            <w:pPr>
              <w:pStyle w:val="12"/>
              <w:spacing w:line="288" w:lineRule="auto"/>
              <w:ind w:left="0" w:leftChars="0" w:firstLine="0" w:firstLineChars="0"/>
              <w:rPr>
                <w:rFonts w:ascii="宋体" w:hAnsi="宋体" w:cs="宋体"/>
                <w:color w:val="auto"/>
                <w:szCs w:val="21"/>
              </w:rPr>
            </w:pPr>
            <w:r>
              <w:rPr>
                <w:rFonts w:hint="eastAsia" w:ascii="宋体" w:hAnsi="宋体" w:cs="宋体"/>
                <w:color w:val="auto"/>
                <w:szCs w:val="21"/>
              </w:rPr>
              <w:t>45#钢，滚齿、插键槽、去毛齿、齿部经高频率火到达HRC60-62。</w:t>
            </w:r>
          </w:p>
        </w:tc>
      </w:tr>
      <w:tr w14:paraId="73F09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56F9D056">
            <w:pPr>
              <w:pStyle w:val="17"/>
              <w:widowControl/>
              <w:spacing w:line="288" w:lineRule="auto"/>
              <w:jc w:val="left"/>
              <w:rPr>
                <w:rFonts w:ascii="宋体" w:hAnsi="宋体" w:cs="宋体"/>
                <w:color w:val="auto"/>
                <w:szCs w:val="21"/>
              </w:rPr>
            </w:pPr>
            <w:r>
              <w:rPr>
                <w:rFonts w:hint="eastAsia" w:ascii="宋体" w:hAnsi="宋体" w:cs="宋体"/>
                <w:color w:val="auto"/>
                <w:szCs w:val="21"/>
              </w:rPr>
              <w:t>轴承</w:t>
            </w:r>
          </w:p>
        </w:tc>
        <w:tc>
          <w:tcPr>
            <w:tcW w:w="7672" w:type="dxa"/>
          </w:tcPr>
          <w:p w14:paraId="63A316F8">
            <w:pPr>
              <w:pStyle w:val="17"/>
              <w:widowControl/>
              <w:spacing w:line="288" w:lineRule="auto"/>
              <w:jc w:val="left"/>
              <w:rPr>
                <w:rFonts w:ascii="宋体" w:hAnsi="宋体" w:cs="宋体"/>
                <w:color w:val="auto"/>
                <w:szCs w:val="21"/>
              </w:rPr>
            </w:pPr>
            <w:r>
              <w:rPr>
                <w:rFonts w:hint="eastAsia" w:ascii="宋体" w:hAnsi="宋体" w:cs="宋体"/>
                <w:color w:val="auto"/>
                <w:szCs w:val="21"/>
              </w:rPr>
              <w:t>轴承E级，P204优质平装式球面或菱形座外球面万向滚珠轴承。</w:t>
            </w:r>
          </w:p>
        </w:tc>
      </w:tr>
      <w:tr w14:paraId="5A136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0EFB7F2D">
            <w:pPr>
              <w:pStyle w:val="17"/>
              <w:widowControl/>
              <w:spacing w:line="288" w:lineRule="auto"/>
              <w:jc w:val="left"/>
              <w:rPr>
                <w:rFonts w:ascii="宋体" w:hAnsi="宋体" w:cs="宋体"/>
                <w:color w:val="auto"/>
                <w:szCs w:val="21"/>
              </w:rPr>
            </w:pPr>
            <w:r>
              <w:rPr>
                <w:rFonts w:hint="eastAsia" w:ascii="宋体" w:hAnsi="宋体" w:cs="宋体"/>
                <w:color w:val="auto"/>
                <w:szCs w:val="21"/>
              </w:rPr>
              <w:t>链条</w:t>
            </w:r>
          </w:p>
        </w:tc>
        <w:tc>
          <w:tcPr>
            <w:tcW w:w="7672" w:type="dxa"/>
          </w:tcPr>
          <w:p w14:paraId="0F4E1CF8">
            <w:pPr>
              <w:pStyle w:val="17"/>
              <w:widowControl/>
              <w:spacing w:line="288" w:lineRule="auto"/>
              <w:jc w:val="left"/>
              <w:rPr>
                <w:rFonts w:ascii="宋体" w:hAnsi="宋体" w:cs="宋体"/>
                <w:color w:val="auto"/>
                <w:szCs w:val="21"/>
              </w:rPr>
            </w:pPr>
            <w:r>
              <w:rPr>
                <w:rFonts w:hint="eastAsia" w:ascii="宋体" w:hAnsi="宋体" w:cs="宋体"/>
                <w:color w:val="auto"/>
                <w:szCs w:val="21"/>
              </w:rPr>
              <w:t>精密滚子链，应符合GB/T 1243-2024《传动用短节距精密滚子链、套筒链、附件和链轮》要求。</w:t>
            </w:r>
          </w:p>
        </w:tc>
      </w:tr>
      <w:tr w14:paraId="3136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70B887BF">
            <w:pPr>
              <w:pStyle w:val="17"/>
              <w:widowControl/>
              <w:spacing w:line="288" w:lineRule="auto"/>
              <w:jc w:val="left"/>
              <w:rPr>
                <w:rFonts w:ascii="宋体" w:hAnsi="宋体" w:cs="宋体"/>
                <w:color w:val="auto"/>
                <w:szCs w:val="21"/>
              </w:rPr>
            </w:pPr>
            <w:r>
              <w:rPr>
                <w:rFonts w:hint="eastAsia" w:ascii="宋体" w:hAnsi="宋体" w:cs="宋体"/>
                <w:color w:val="auto"/>
                <w:szCs w:val="21"/>
              </w:rPr>
              <w:t>滚轮</w:t>
            </w:r>
          </w:p>
        </w:tc>
        <w:tc>
          <w:tcPr>
            <w:tcW w:w="7672" w:type="dxa"/>
          </w:tcPr>
          <w:p w14:paraId="033CAE26">
            <w:pPr>
              <w:pStyle w:val="17"/>
              <w:widowControl/>
              <w:spacing w:line="288" w:lineRule="auto"/>
              <w:jc w:val="left"/>
              <w:rPr>
                <w:rFonts w:ascii="宋体" w:hAnsi="宋体" w:cs="宋体"/>
                <w:color w:val="auto"/>
                <w:szCs w:val="21"/>
              </w:rPr>
            </w:pPr>
            <w:r>
              <w:rPr>
                <w:rFonts w:hint="eastAsia" w:ascii="宋体" w:hAnsi="宋体" w:cs="宋体"/>
                <w:color w:val="auto"/>
                <w:szCs w:val="21"/>
              </w:rPr>
              <w:t>高强度铸铁，经加工成型，牢固耐用，未加工表面喷涂环保油漆。</w:t>
            </w:r>
          </w:p>
        </w:tc>
      </w:tr>
      <w:tr w14:paraId="44BC8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4E0524EA">
            <w:pPr>
              <w:pStyle w:val="17"/>
              <w:widowControl/>
              <w:spacing w:line="288" w:lineRule="auto"/>
              <w:jc w:val="left"/>
              <w:rPr>
                <w:rFonts w:ascii="宋体" w:hAnsi="宋体" w:cs="宋体"/>
                <w:color w:val="auto"/>
                <w:szCs w:val="21"/>
              </w:rPr>
            </w:pPr>
            <w:r>
              <w:rPr>
                <w:rFonts w:hint="eastAsia" w:ascii="宋体" w:hAnsi="宋体" w:cs="宋体"/>
                <w:color w:val="auto"/>
                <w:szCs w:val="21"/>
              </w:rPr>
              <w:t>连接管</w:t>
            </w:r>
          </w:p>
        </w:tc>
        <w:tc>
          <w:tcPr>
            <w:tcW w:w="7672" w:type="dxa"/>
          </w:tcPr>
          <w:p w14:paraId="6990C6E1">
            <w:pPr>
              <w:pStyle w:val="17"/>
              <w:widowControl/>
              <w:spacing w:line="288" w:lineRule="auto"/>
              <w:jc w:val="left"/>
              <w:rPr>
                <w:rFonts w:ascii="宋体" w:hAnsi="宋体" w:cs="宋体"/>
                <w:color w:val="auto"/>
                <w:szCs w:val="21"/>
              </w:rPr>
            </w:pPr>
            <w:r>
              <w:rPr>
                <w:rFonts w:hint="eastAsia" w:ascii="宋体" w:hAnsi="宋体" w:cs="宋体"/>
                <w:color w:val="auto"/>
                <w:szCs w:val="21"/>
              </w:rPr>
              <w:t>无缝钢管Φ25*20优质无缝钢管，表面喷涂。</w:t>
            </w:r>
          </w:p>
        </w:tc>
      </w:tr>
      <w:tr w14:paraId="79FA4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37B2F5F2">
            <w:pPr>
              <w:pStyle w:val="17"/>
              <w:widowControl/>
              <w:spacing w:line="288" w:lineRule="auto"/>
              <w:jc w:val="left"/>
              <w:rPr>
                <w:rFonts w:ascii="宋体" w:hAnsi="宋体" w:cs="宋体"/>
                <w:color w:val="auto"/>
                <w:szCs w:val="21"/>
              </w:rPr>
            </w:pPr>
            <w:r>
              <w:rPr>
                <w:rFonts w:hint="eastAsia" w:ascii="宋体" w:hAnsi="宋体" w:cs="宋体"/>
                <w:color w:val="auto"/>
                <w:szCs w:val="21"/>
              </w:rPr>
              <w:t>*</w:t>
            </w:r>
            <w:r>
              <w:rPr>
                <w:rFonts w:hint="eastAsia" w:ascii="宋体" w:hAnsi="宋体" w:cs="宋体"/>
                <w:color w:val="auto"/>
                <w:kern w:val="0"/>
                <w:szCs w:val="21"/>
              </w:rPr>
              <w:t>密集架专用</w:t>
            </w:r>
            <w:r>
              <w:rPr>
                <w:rFonts w:hint="eastAsia" w:ascii="宋体" w:hAnsi="宋体" w:cs="宋体"/>
                <w:color w:val="auto"/>
                <w:szCs w:val="21"/>
              </w:rPr>
              <w:t>重型底盘</w:t>
            </w:r>
          </w:p>
        </w:tc>
        <w:tc>
          <w:tcPr>
            <w:tcW w:w="7672" w:type="dxa"/>
          </w:tcPr>
          <w:p w14:paraId="461D1C69">
            <w:pPr>
              <w:pStyle w:val="17"/>
              <w:widowControl/>
              <w:spacing w:line="288" w:lineRule="auto"/>
              <w:jc w:val="left"/>
              <w:rPr>
                <w:rFonts w:ascii="宋体" w:hAnsi="宋体" w:cs="宋体"/>
                <w:color w:val="auto"/>
                <w:szCs w:val="21"/>
              </w:rPr>
            </w:pPr>
            <w:r>
              <w:rPr>
                <w:rFonts w:hint="eastAsia" w:ascii="宋体" w:hAnsi="宋体" w:cs="宋体"/>
                <w:color w:val="auto"/>
                <w:kern w:val="0"/>
                <w:szCs w:val="21"/>
              </w:rPr>
              <w:t>采用≥2.8mm冷轧钢板，分段焊接后整体组装式，连接牢固、运输、安装方便，底盘各段连接采用M10螺栓紧固，纵梁上按节距冲有矩形槽，槽下焊有夹紧板，以供立柱插入后用M10箍紧拧固。</w:t>
            </w:r>
            <w:r>
              <w:rPr>
                <w:rFonts w:hint="eastAsia" w:asciiTheme="minorEastAsia" w:hAnsiTheme="minorEastAsia" w:eastAsiaTheme="minorEastAsia" w:cstheme="minorEastAsia"/>
                <w:color w:val="auto"/>
                <w:sz w:val="28"/>
                <w:szCs w:val="36"/>
              </w:rPr>
              <w:t xml:space="preserve"> </w:t>
            </w:r>
            <w:r>
              <w:rPr>
                <w:rFonts w:hint="eastAsia" w:ascii="宋体" w:hAnsi="宋体" w:cs="宋体"/>
                <w:b/>
                <w:bCs/>
                <w:color w:val="auto"/>
                <w:szCs w:val="21"/>
              </w:rPr>
              <w:t>（</w:t>
            </w:r>
            <w:r>
              <w:rPr>
                <w:rFonts w:hint="eastAsia" w:ascii="宋体" w:hAnsi="宋体" w:cs="宋体"/>
                <w:b/>
                <w:bCs/>
                <w:color w:val="auto"/>
                <w:szCs w:val="21"/>
                <w:lang w:eastAsia="zh-CN"/>
              </w:rPr>
              <w:t>供应商需提供由第三方检测机构出具的</w:t>
            </w:r>
            <w:r>
              <w:rPr>
                <w:rFonts w:hint="eastAsia" w:ascii="宋体" w:hAnsi="宋体" w:cs="宋体"/>
                <w:b/>
                <w:bCs/>
                <w:color w:val="auto"/>
                <w:szCs w:val="21"/>
              </w:rPr>
              <w:t>底盘检验报告，检验依据为GB/T228.1-2021《金属材料拉伸试验 第1部分：室温试验方法》复印件</w:t>
            </w:r>
            <w:r>
              <w:rPr>
                <w:rFonts w:hint="eastAsia" w:ascii="宋体" w:hAnsi="宋体" w:cs="宋体"/>
                <w:b/>
                <w:bCs/>
                <w:color w:val="auto"/>
                <w:szCs w:val="21"/>
                <w:lang w:eastAsia="zh-CN"/>
              </w:rPr>
              <w:t>，</w:t>
            </w:r>
            <w:r>
              <w:rPr>
                <w:rFonts w:hint="eastAsia" w:ascii="宋体" w:hAnsi="宋体" w:cs="宋体"/>
                <w:b/>
                <w:bCs/>
                <w:color w:val="auto"/>
                <w:szCs w:val="21"/>
              </w:rPr>
              <w:t>并提供网络查询截图）</w:t>
            </w:r>
          </w:p>
        </w:tc>
      </w:tr>
      <w:tr w14:paraId="74B41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0932E449">
            <w:pPr>
              <w:pStyle w:val="17"/>
              <w:widowControl/>
              <w:spacing w:line="288" w:lineRule="auto"/>
              <w:jc w:val="left"/>
              <w:rPr>
                <w:rFonts w:ascii="宋体" w:hAnsi="宋体" w:cs="宋体"/>
                <w:color w:val="auto"/>
                <w:szCs w:val="21"/>
              </w:rPr>
            </w:pPr>
            <w:r>
              <w:rPr>
                <w:rFonts w:hint="eastAsia" w:ascii="宋体" w:hAnsi="宋体" w:cs="宋体"/>
                <w:color w:val="auto"/>
                <w:szCs w:val="21"/>
              </w:rPr>
              <w:t>*底拉</w:t>
            </w:r>
          </w:p>
        </w:tc>
        <w:tc>
          <w:tcPr>
            <w:tcW w:w="7672" w:type="dxa"/>
          </w:tcPr>
          <w:p w14:paraId="171811A6">
            <w:pPr>
              <w:pStyle w:val="17"/>
              <w:widowControl/>
              <w:spacing w:line="288" w:lineRule="auto"/>
              <w:jc w:val="left"/>
              <w:rPr>
                <w:rFonts w:ascii="宋体" w:hAnsi="宋体" w:cs="宋体"/>
                <w:color w:val="auto"/>
                <w:szCs w:val="21"/>
              </w:rPr>
            </w:pPr>
            <w:r>
              <w:rPr>
                <w:rFonts w:hint="eastAsia" w:ascii="宋体" w:hAnsi="宋体" w:cs="宋体"/>
                <w:color w:val="auto"/>
                <w:szCs w:val="21"/>
              </w:rPr>
              <w:t>采用优质冷轧钢板，结构结实、紧固，设计新颖，通用性强，整体焊接后采用螺丝串联，表面喷塑。</w:t>
            </w:r>
            <w:r>
              <w:rPr>
                <w:rFonts w:hint="eastAsia" w:ascii="宋体" w:hAnsi="宋体" w:cs="宋体"/>
                <w:color w:val="auto"/>
                <w:kern w:val="0"/>
                <w:szCs w:val="21"/>
              </w:rPr>
              <w:t>凡触及人体和存放物品的部分，应无毛边、锐角、棱角等；凡需焊接的部件要求焊接牢固，表面要平整，不允许出现漏焊、焊穿、气孔、咬边等缺陷；冲压件表面不允许有裂痕；，但涂层表面应平整光滑，色泽均匀一致，不允许有流挂、起粒、皱皮、露底、剥落、伤痕等缺陷。</w:t>
            </w:r>
            <w:r>
              <w:rPr>
                <w:rFonts w:hint="eastAsia" w:ascii="宋体" w:hAnsi="宋体" w:cs="宋体"/>
                <w:b/>
                <w:bCs/>
                <w:color w:val="auto"/>
                <w:szCs w:val="21"/>
              </w:rPr>
              <w:t>（</w:t>
            </w:r>
            <w:r>
              <w:rPr>
                <w:rFonts w:hint="eastAsia" w:ascii="宋体" w:hAnsi="宋体" w:cs="宋体"/>
                <w:b/>
                <w:bCs/>
                <w:color w:val="auto"/>
                <w:szCs w:val="21"/>
                <w:lang w:eastAsia="zh-CN"/>
              </w:rPr>
              <w:t>供应商需提供由第三方检测机构出具的</w:t>
            </w:r>
            <w:r>
              <w:rPr>
                <w:rFonts w:hint="eastAsia" w:ascii="宋体" w:hAnsi="宋体" w:cs="宋体"/>
                <w:b/>
                <w:bCs/>
                <w:color w:val="auto"/>
                <w:szCs w:val="21"/>
              </w:rPr>
              <w:t>底拉检验报告，检验依据为GB/T228.1-2021《金属材料 拉伸试验 第1部分：室温试验方法》GB/T13667.3-2013《钢制书架 第3部分：手动密集书架》复印件</w:t>
            </w:r>
            <w:r>
              <w:rPr>
                <w:rFonts w:hint="eastAsia" w:ascii="宋体" w:hAnsi="宋体" w:cs="宋体"/>
                <w:b/>
                <w:bCs/>
                <w:color w:val="auto"/>
                <w:szCs w:val="21"/>
                <w:lang w:eastAsia="zh-CN"/>
              </w:rPr>
              <w:t>，</w:t>
            </w:r>
            <w:r>
              <w:rPr>
                <w:rFonts w:hint="eastAsia" w:ascii="宋体" w:hAnsi="宋体" w:cs="宋体"/>
                <w:b/>
                <w:bCs/>
                <w:color w:val="auto"/>
                <w:szCs w:val="21"/>
              </w:rPr>
              <w:t>并提供网络查询截图）</w:t>
            </w:r>
          </w:p>
        </w:tc>
      </w:tr>
      <w:tr w14:paraId="29728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vAlign w:val="center"/>
          </w:tcPr>
          <w:p w14:paraId="60B8742F">
            <w:pPr>
              <w:pStyle w:val="18"/>
              <w:rPr>
                <w:rFonts w:ascii="宋体" w:hAnsi="宋体" w:cs="宋体"/>
                <w:color w:val="auto"/>
                <w:szCs w:val="21"/>
              </w:rPr>
            </w:pPr>
            <w:r>
              <w:rPr>
                <w:rFonts w:hint="eastAsia" w:ascii="宋体" w:hAnsi="宋体" w:cs="宋体"/>
                <w:color w:val="auto"/>
                <w:sz w:val="20"/>
                <w:szCs w:val="20"/>
              </w:rPr>
              <w:t>密封条</w:t>
            </w:r>
          </w:p>
        </w:tc>
        <w:tc>
          <w:tcPr>
            <w:tcW w:w="7672" w:type="dxa"/>
          </w:tcPr>
          <w:p w14:paraId="17C57DC2">
            <w:pPr>
              <w:pStyle w:val="17"/>
              <w:widowControl/>
              <w:spacing w:line="288" w:lineRule="auto"/>
              <w:jc w:val="left"/>
              <w:rPr>
                <w:rFonts w:ascii="宋体" w:hAnsi="宋体" w:cs="宋体"/>
                <w:color w:val="auto"/>
                <w:szCs w:val="21"/>
              </w:rPr>
            </w:pPr>
            <w:r>
              <w:rPr>
                <w:rFonts w:hint="eastAsia" w:ascii="宋体" w:hAnsi="宋体" w:cs="宋体"/>
                <w:color w:val="auto"/>
                <w:sz w:val="20"/>
                <w:szCs w:val="20"/>
              </w:rPr>
              <w:t>抗老化橡胶密封条</w:t>
            </w:r>
          </w:p>
        </w:tc>
      </w:tr>
      <w:tr w14:paraId="5D311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vAlign w:val="center"/>
          </w:tcPr>
          <w:p w14:paraId="77215A9C">
            <w:pPr>
              <w:pStyle w:val="18"/>
              <w:rPr>
                <w:rFonts w:ascii="宋体" w:hAnsi="宋体" w:cs="宋体"/>
                <w:color w:val="auto"/>
                <w:szCs w:val="21"/>
              </w:rPr>
            </w:pPr>
            <w:r>
              <w:rPr>
                <w:rFonts w:hint="eastAsia" w:ascii="宋体" w:hAnsi="宋体" w:cs="宋体"/>
                <w:color w:val="auto"/>
                <w:sz w:val="20"/>
                <w:szCs w:val="20"/>
              </w:rPr>
              <w:t>防尘板</w:t>
            </w:r>
          </w:p>
        </w:tc>
        <w:tc>
          <w:tcPr>
            <w:tcW w:w="7672" w:type="dxa"/>
            <w:vAlign w:val="center"/>
          </w:tcPr>
          <w:p w14:paraId="642BE1B3">
            <w:pPr>
              <w:pStyle w:val="18"/>
              <w:rPr>
                <w:rFonts w:ascii="宋体" w:hAnsi="宋体" w:cs="宋体"/>
                <w:color w:val="auto"/>
                <w:szCs w:val="21"/>
              </w:rPr>
            </w:pPr>
            <w:r>
              <w:rPr>
                <w:rFonts w:hint="eastAsia" w:ascii="宋体" w:hAnsi="宋体" w:cs="宋体"/>
                <w:color w:val="auto"/>
                <w:sz w:val="20"/>
                <w:szCs w:val="20"/>
              </w:rPr>
              <w:t>厚度1.0mm，每列的接触面均有缓冲及密封装置，具有良好的防震、防光、防水、防潮、防鼠、防火功能。</w:t>
            </w:r>
          </w:p>
        </w:tc>
      </w:tr>
      <w:tr w14:paraId="6F2A7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vAlign w:val="center"/>
          </w:tcPr>
          <w:p w14:paraId="66B34725">
            <w:pPr>
              <w:pStyle w:val="18"/>
              <w:rPr>
                <w:rFonts w:ascii="宋体" w:hAnsi="宋体" w:cs="宋体"/>
                <w:color w:val="auto"/>
                <w:szCs w:val="21"/>
              </w:rPr>
            </w:pPr>
            <w:r>
              <w:rPr>
                <w:rFonts w:hint="eastAsia" w:ascii="宋体" w:hAnsi="宋体" w:cs="宋体"/>
                <w:color w:val="auto"/>
                <w:sz w:val="20"/>
                <w:szCs w:val="20"/>
              </w:rPr>
              <w:t>防鼠板</w:t>
            </w:r>
          </w:p>
        </w:tc>
        <w:tc>
          <w:tcPr>
            <w:tcW w:w="7672" w:type="dxa"/>
            <w:vAlign w:val="center"/>
          </w:tcPr>
          <w:p w14:paraId="6DBFEE3D">
            <w:pPr>
              <w:pStyle w:val="18"/>
              <w:rPr>
                <w:rFonts w:ascii="宋体" w:hAnsi="宋体" w:cs="宋体"/>
                <w:color w:val="auto"/>
                <w:szCs w:val="21"/>
              </w:rPr>
            </w:pPr>
            <w:r>
              <w:rPr>
                <w:rFonts w:hint="eastAsia" w:ascii="宋体" w:hAnsi="宋体" w:cs="宋体"/>
                <w:color w:val="auto"/>
                <w:sz w:val="20"/>
                <w:szCs w:val="20"/>
              </w:rPr>
              <w:t>厚度1.0mm，每列的接触面均有缓冲及密封装置，具有良好的防震、防光、防水、防潮、防鼠、防火功能。</w:t>
            </w:r>
          </w:p>
        </w:tc>
      </w:tr>
      <w:tr w14:paraId="12124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vAlign w:val="center"/>
          </w:tcPr>
          <w:p w14:paraId="2C5D2ABA">
            <w:pPr>
              <w:pStyle w:val="18"/>
              <w:rPr>
                <w:rFonts w:ascii="宋体" w:hAnsi="宋体" w:cs="宋体"/>
                <w:color w:val="auto"/>
                <w:szCs w:val="21"/>
              </w:rPr>
            </w:pPr>
            <w:r>
              <w:rPr>
                <w:rFonts w:hint="eastAsia" w:ascii="宋体" w:hAnsi="宋体" w:cs="宋体"/>
                <w:color w:val="auto"/>
                <w:sz w:val="20"/>
                <w:szCs w:val="20"/>
              </w:rPr>
              <w:t>防倾倒装置</w:t>
            </w:r>
          </w:p>
        </w:tc>
        <w:tc>
          <w:tcPr>
            <w:tcW w:w="7672" w:type="dxa"/>
            <w:vAlign w:val="center"/>
          </w:tcPr>
          <w:p w14:paraId="704289BA">
            <w:pPr>
              <w:pStyle w:val="18"/>
              <w:rPr>
                <w:rFonts w:ascii="宋体" w:hAnsi="宋体" w:cs="宋体"/>
                <w:color w:val="auto"/>
                <w:szCs w:val="21"/>
              </w:rPr>
            </w:pPr>
            <w:r>
              <w:rPr>
                <w:rFonts w:hint="eastAsia" w:ascii="宋体" w:hAnsi="宋体" w:cs="宋体"/>
                <w:color w:val="auto"/>
                <w:sz w:val="20"/>
                <w:szCs w:val="20"/>
              </w:rPr>
              <w:t>厚度3.0mm，每列的接触面均有缓冲及密封装置，具有良好的防震、防光、防水、防潮、防鼠、防火功能。</w:t>
            </w:r>
          </w:p>
        </w:tc>
      </w:tr>
      <w:tr w14:paraId="58274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50" w:type="dxa"/>
          </w:tcPr>
          <w:p w14:paraId="426A95B4">
            <w:pPr>
              <w:pStyle w:val="17"/>
              <w:widowControl/>
              <w:spacing w:line="288" w:lineRule="auto"/>
              <w:jc w:val="left"/>
              <w:rPr>
                <w:rFonts w:ascii="宋体" w:hAnsi="宋体" w:cs="宋体"/>
                <w:color w:val="auto"/>
                <w:szCs w:val="21"/>
              </w:rPr>
            </w:pPr>
            <w:r>
              <w:rPr>
                <w:rFonts w:hint="eastAsia" w:ascii="宋体" w:hAnsi="宋体" w:cs="宋体"/>
                <w:color w:val="auto"/>
                <w:kern w:val="0"/>
                <w:sz w:val="20"/>
                <w:szCs w:val="20"/>
              </w:rPr>
              <w:t>紧固件</w:t>
            </w:r>
          </w:p>
        </w:tc>
        <w:tc>
          <w:tcPr>
            <w:tcW w:w="7672" w:type="dxa"/>
          </w:tcPr>
          <w:p w14:paraId="14D08272">
            <w:pPr>
              <w:pStyle w:val="17"/>
              <w:widowControl/>
              <w:spacing w:line="288" w:lineRule="auto"/>
              <w:jc w:val="left"/>
              <w:rPr>
                <w:rFonts w:ascii="宋体" w:hAnsi="宋体" w:cs="宋体"/>
                <w:color w:val="auto"/>
                <w:szCs w:val="21"/>
              </w:rPr>
            </w:pPr>
            <w:r>
              <w:rPr>
                <w:rFonts w:hint="eastAsia" w:ascii="宋体" w:hAnsi="宋体" w:cs="宋体"/>
                <w:color w:val="auto"/>
                <w:sz w:val="20"/>
                <w:szCs w:val="20"/>
              </w:rPr>
              <w:t>螺栓螺帽，优质五金件。</w:t>
            </w:r>
          </w:p>
        </w:tc>
      </w:tr>
    </w:tbl>
    <w:p w14:paraId="542E7E2F">
      <w:pPr>
        <w:pStyle w:val="17"/>
        <w:widowControl/>
        <w:spacing w:line="400" w:lineRule="exact"/>
        <w:jc w:val="left"/>
        <w:rPr>
          <w:rFonts w:ascii="宋体" w:hAnsi="宋体" w:cs="宋体"/>
          <w:color w:val="auto"/>
          <w:sz w:val="22"/>
        </w:rPr>
      </w:pPr>
      <w:r>
        <w:rPr>
          <w:rFonts w:hint="eastAsia" w:ascii="宋体" w:hAnsi="宋体" w:cs="宋体"/>
          <w:color w:val="auto"/>
          <w:sz w:val="22"/>
        </w:rPr>
        <w:t>注：尺寸偏差范围±2mm</w:t>
      </w:r>
    </w:p>
    <w:sectPr>
      <w:pgSz w:w="11906" w:h="16838"/>
      <w:pgMar w:top="1440" w:right="1349" w:bottom="1440" w:left="134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1NTg1MTZmODQ0MGNlNzVkY2UyOWNhOTczNzMyNjQifQ=="/>
  </w:docVars>
  <w:rsids>
    <w:rsidRoot w:val="032A62A0"/>
    <w:rsid w:val="000263A3"/>
    <w:rsid w:val="00073575"/>
    <w:rsid w:val="000F32EE"/>
    <w:rsid w:val="001335E3"/>
    <w:rsid w:val="001440C7"/>
    <w:rsid w:val="00157B44"/>
    <w:rsid w:val="001972DC"/>
    <w:rsid w:val="00197497"/>
    <w:rsid w:val="001B5A41"/>
    <w:rsid w:val="001C5D7F"/>
    <w:rsid w:val="001F1641"/>
    <w:rsid w:val="00200B66"/>
    <w:rsid w:val="002E01FB"/>
    <w:rsid w:val="00303C51"/>
    <w:rsid w:val="003D4B24"/>
    <w:rsid w:val="004B7CA8"/>
    <w:rsid w:val="004E123A"/>
    <w:rsid w:val="005266C2"/>
    <w:rsid w:val="006246D9"/>
    <w:rsid w:val="007277F9"/>
    <w:rsid w:val="008B08B6"/>
    <w:rsid w:val="009935D4"/>
    <w:rsid w:val="009D6BBF"/>
    <w:rsid w:val="00AF576E"/>
    <w:rsid w:val="00CB0406"/>
    <w:rsid w:val="00D33228"/>
    <w:rsid w:val="00DC352E"/>
    <w:rsid w:val="00E30AF9"/>
    <w:rsid w:val="00E6547D"/>
    <w:rsid w:val="00E9210C"/>
    <w:rsid w:val="00F651E2"/>
    <w:rsid w:val="032A62A0"/>
    <w:rsid w:val="03E47515"/>
    <w:rsid w:val="07D0227B"/>
    <w:rsid w:val="08082B23"/>
    <w:rsid w:val="09E97825"/>
    <w:rsid w:val="10137404"/>
    <w:rsid w:val="190E3CAF"/>
    <w:rsid w:val="23136DB1"/>
    <w:rsid w:val="23A979DB"/>
    <w:rsid w:val="27BF39AE"/>
    <w:rsid w:val="32250B75"/>
    <w:rsid w:val="3FA550A3"/>
    <w:rsid w:val="40D374F7"/>
    <w:rsid w:val="41110C42"/>
    <w:rsid w:val="48C12F4D"/>
    <w:rsid w:val="49D93CE3"/>
    <w:rsid w:val="4D754306"/>
    <w:rsid w:val="4D893963"/>
    <w:rsid w:val="4EB54731"/>
    <w:rsid w:val="52A806ED"/>
    <w:rsid w:val="53AA7017"/>
    <w:rsid w:val="5E933D9F"/>
    <w:rsid w:val="609805E0"/>
    <w:rsid w:val="64306D81"/>
    <w:rsid w:val="690D1263"/>
    <w:rsid w:val="6F0532E4"/>
    <w:rsid w:val="6F6F4C02"/>
    <w:rsid w:val="6FDE07A0"/>
    <w:rsid w:val="70891CF3"/>
    <w:rsid w:val="737A7D14"/>
    <w:rsid w:val="741D2E7E"/>
    <w:rsid w:val="79BB572D"/>
    <w:rsid w:val="7B05466C"/>
    <w:rsid w:val="7CE75F92"/>
    <w:rsid w:val="7EC61A76"/>
    <w:rsid w:val="7F312605"/>
    <w:rsid w:val="7FE4266B"/>
    <w:rsid w:val="B114E2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3">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qFormat/>
    <w:uiPriority w:val="0"/>
    <w:pPr>
      <w:keepNext/>
      <w:keepLines/>
      <w:adjustRightInd w:val="0"/>
      <w:snapToGrid w:val="0"/>
      <w:spacing w:line="360" w:lineRule="auto"/>
      <w:outlineLvl w:val="1"/>
    </w:pPr>
    <w:rPr>
      <w:rFonts w:ascii="宋体" w:hAnsi="宋体"/>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annotation text"/>
    <w:basedOn w:val="1"/>
    <w:qFormat/>
    <w:uiPriority w:val="0"/>
    <w:pPr>
      <w:jc w:val="left"/>
    </w:pPr>
  </w:style>
  <w:style w:type="paragraph" w:styleId="6">
    <w:name w:val="Body Text Indent"/>
    <w:basedOn w:val="1"/>
    <w:next w:val="7"/>
    <w:qFormat/>
    <w:uiPriority w:val="0"/>
    <w:pPr>
      <w:spacing w:line="700" w:lineRule="exact"/>
      <w:ind w:left="960"/>
    </w:pPr>
    <w:rPr>
      <w:sz w:val="44"/>
    </w:rPr>
  </w:style>
  <w:style w:type="paragraph" w:styleId="7">
    <w:name w:val="envelope return"/>
    <w:basedOn w:val="1"/>
    <w:qFormat/>
    <w:uiPriority w:val="0"/>
    <w:pPr>
      <w:snapToGrid w:val="0"/>
    </w:pPr>
    <w:rPr>
      <w:rFonts w:ascii="Arial" w:hAnsi="Arial"/>
    </w:rPr>
  </w:style>
  <w:style w:type="paragraph" w:styleId="8">
    <w:name w:val="Balloon Text"/>
    <w:basedOn w:val="1"/>
    <w:link w:val="19"/>
    <w:qFormat/>
    <w:uiPriority w:val="0"/>
    <w:rPr>
      <w:sz w:val="18"/>
      <w:szCs w:val="18"/>
    </w:rPr>
  </w:style>
  <w:style w:type="paragraph" w:styleId="9">
    <w:name w:val="footer"/>
    <w:basedOn w:val="1"/>
    <w:link w:val="24"/>
    <w:qFormat/>
    <w:uiPriority w:val="0"/>
    <w:pPr>
      <w:tabs>
        <w:tab w:val="center" w:pos="4153"/>
        <w:tab w:val="right" w:pos="8306"/>
      </w:tabs>
      <w:snapToGrid w:val="0"/>
      <w:jc w:val="left"/>
    </w:pPr>
    <w:rPr>
      <w:sz w:val="18"/>
      <w:szCs w:val="18"/>
    </w:rPr>
  </w:style>
  <w:style w:type="paragraph" w:styleId="10">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pPr>
      <w:tabs>
        <w:tab w:val="left" w:pos="1260"/>
        <w:tab w:val="left" w:pos="1685"/>
        <w:tab w:val="right" w:leader="dot" w:pos="8400"/>
      </w:tabs>
      <w:spacing w:line="320" w:lineRule="exact"/>
      <w:ind w:firstLine="280" w:firstLineChars="100"/>
    </w:pPr>
  </w:style>
  <w:style w:type="paragraph" w:styleId="12">
    <w:name w:val="Body Text First Indent 2"/>
    <w:basedOn w:val="6"/>
    <w:next w:val="1"/>
    <w:qFormat/>
    <w:uiPriority w:val="0"/>
    <w:pPr>
      <w:spacing w:after="120" w:line="240" w:lineRule="auto"/>
      <w:ind w:left="420" w:leftChars="200" w:firstLine="420" w:firstLineChars="200"/>
    </w:pPr>
    <w:rPr>
      <w:sz w:val="21"/>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paragraph" w:customStyle="1" w:styleId="17">
    <w:name w:val="正文_1"/>
    <w:qFormat/>
    <w:uiPriority w:val="0"/>
    <w:pPr>
      <w:widowControl w:val="0"/>
      <w:jc w:val="both"/>
    </w:pPr>
    <w:rPr>
      <w:rFonts w:ascii="Calibri" w:hAnsi="Calibri" w:eastAsia="宋体" w:cs="Times New Roman"/>
      <w:kern w:val="2"/>
      <w:sz w:val="21"/>
      <w:szCs w:val="22"/>
      <w:lang w:val="en-US" w:eastAsia="zh-CN" w:bidi="ar-SA"/>
    </w:rPr>
  </w:style>
  <w:style w:type="paragraph" w:styleId="18">
    <w:name w:val="No Spacing"/>
    <w:qFormat/>
    <w:uiPriority w:val="99"/>
    <w:pPr>
      <w:widowControl w:val="0"/>
      <w:jc w:val="both"/>
    </w:pPr>
    <w:rPr>
      <w:rFonts w:ascii="Calibri" w:hAnsi="Calibri" w:eastAsia="宋体" w:cs="Times New Roman"/>
      <w:kern w:val="2"/>
      <w:sz w:val="21"/>
      <w:szCs w:val="22"/>
      <w:lang w:val="en-US" w:eastAsia="zh-CN" w:bidi="ar-SA"/>
    </w:rPr>
  </w:style>
  <w:style w:type="character" w:customStyle="1" w:styleId="19">
    <w:name w:val="批注框文本 Char"/>
    <w:basedOn w:val="15"/>
    <w:link w:val="8"/>
    <w:qFormat/>
    <w:uiPriority w:val="0"/>
    <w:rPr>
      <w:rFonts w:ascii="Times New Roman" w:hAnsi="Times New Roman" w:eastAsia="宋体" w:cs="Times New Roman"/>
      <w:kern w:val="2"/>
      <w:sz w:val="18"/>
      <w:szCs w:val="18"/>
    </w:rPr>
  </w:style>
  <w:style w:type="paragraph" w:customStyle="1" w:styleId="20">
    <w:name w:val="Table Text"/>
    <w:basedOn w:val="1"/>
    <w:semiHidden/>
    <w:qFormat/>
    <w:uiPriority w:val="0"/>
    <w:rPr>
      <w:rFonts w:ascii="仿宋" w:hAnsi="仿宋" w:eastAsia="仿宋" w:cs="仿宋"/>
      <w:sz w:val="20"/>
      <w:lang w:eastAsia="en-US"/>
    </w:rPr>
  </w:style>
  <w:style w:type="table" w:customStyle="1" w:styleId="21">
    <w:name w:val="Table Normal"/>
    <w:semiHidden/>
    <w:unhideWhenUsed/>
    <w:qFormat/>
    <w:uiPriority w:val="0"/>
    <w:tblPr>
      <w:tblCellMar>
        <w:top w:w="0" w:type="dxa"/>
        <w:left w:w="0" w:type="dxa"/>
        <w:bottom w:w="0" w:type="dxa"/>
        <w:right w:w="0" w:type="dxa"/>
      </w:tblCellMar>
    </w:tblPr>
  </w:style>
  <w:style w:type="paragraph" w:customStyle="1" w:styleId="22">
    <w:name w:val="正文1"/>
    <w:basedOn w:val="1"/>
    <w:qFormat/>
    <w:uiPriority w:val="0"/>
    <w:pPr>
      <w:spacing w:line="300" w:lineRule="auto"/>
      <w:ind w:firstLine="200" w:firstLineChars="200"/>
    </w:pPr>
    <w:rPr>
      <w:sz w:val="24"/>
    </w:rPr>
  </w:style>
  <w:style w:type="character" w:customStyle="1" w:styleId="23">
    <w:name w:val="页眉 Char"/>
    <w:basedOn w:val="15"/>
    <w:link w:val="10"/>
    <w:qFormat/>
    <w:uiPriority w:val="0"/>
    <w:rPr>
      <w:kern w:val="2"/>
      <w:sz w:val="18"/>
      <w:szCs w:val="18"/>
    </w:rPr>
  </w:style>
  <w:style w:type="character" w:customStyle="1" w:styleId="24">
    <w:name w:val="页脚 Char"/>
    <w:basedOn w:val="15"/>
    <w:link w:val="9"/>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10</Pages>
  <Words>493</Words>
  <Characters>499</Characters>
  <Lines>64</Lines>
  <Paragraphs>18</Paragraphs>
  <TotalTime>2</TotalTime>
  <ScaleCrop>false</ScaleCrop>
  <LinksUpToDate>false</LinksUpToDate>
  <CharactersWithSpaces>499</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2026-10-26T12:13:00Z</dcterms:created>
  <dc:creator>嘉</dc:creator>
  <cp:lastModifiedBy>代理</cp:lastModifiedBy>
  <dcterms:modified xsi:type="dcterms:W3CDTF">2026-11-04T09:23:13Z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D4450BF8F24D484AA2E0746360569992_13</vt:lpwstr>
  </property>
  <property fmtid="{D5CDD505-2E9C-101B-9397-08002B2CF9AE}" pid="4" name="KSOTemplateDocerSaveRecord">
    <vt:lpwstr>eyJoZGlkIjoiNTE1NjM5NWJiYjJlZjJhOGRiZThkYTU4OGJmNjJlZTgiLCJ1c2VySWQiOiIzODk0NTAwMDEifQ==</vt:lpwstr>
  </property>
</Properties>
</file>